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0E220" w14:textId="77777777" w:rsidR="00E46CAA" w:rsidRDefault="00E46CAA" w:rsidP="00EC7C37">
      <w:pPr>
        <w:jc w:val="both"/>
        <w:rPr>
          <w:rFonts w:ascii="Noto Serif" w:hAnsi="Noto Serif" w:cs="Noto Serif"/>
          <w:b/>
          <w:bCs/>
          <w:sz w:val="24"/>
          <w:szCs w:val="24"/>
        </w:rPr>
      </w:pPr>
    </w:p>
    <w:p w14:paraId="5CBE8C8F" w14:textId="4E057907" w:rsidR="003056DD" w:rsidRPr="00417DD4" w:rsidRDefault="003C5F27" w:rsidP="00EC7C37">
      <w:pPr>
        <w:jc w:val="both"/>
        <w:rPr>
          <w:rFonts w:ascii="Noto Serif" w:hAnsi="Noto Serif" w:cs="Noto Serif"/>
          <w:b/>
          <w:bCs/>
          <w:sz w:val="24"/>
          <w:szCs w:val="24"/>
        </w:rPr>
      </w:pPr>
      <w:r w:rsidRPr="00417DD4">
        <w:rPr>
          <w:rFonts w:ascii="Noto Serif" w:hAnsi="Noto Serif" w:cs="Noto Serif"/>
          <w:b/>
          <w:bCs/>
          <w:sz w:val="24"/>
          <w:szCs w:val="24"/>
        </w:rPr>
        <w:t xml:space="preserve">Bogotá D.C., </w:t>
      </w:r>
      <w:r w:rsidR="008A52B4">
        <w:rPr>
          <w:rFonts w:ascii="Noto Serif" w:hAnsi="Noto Serif" w:cs="Noto Serif"/>
          <w:b/>
          <w:bCs/>
          <w:sz w:val="24"/>
          <w:szCs w:val="24"/>
        </w:rPr>
        <w:t xml:space="preserve">16 de junio </w:t>
      </w:r>
      <w:r w:rsidRPr="00417DD4">
        <w:rPr>
          <w:rFonts w:ascii="Noto Serif" w:hAnsi="Noto Serif" w:cs="Noto Serif"/>
          <w:b/>
          <w:bCs/>
          <w:sz w:val="24"/>
          <w:szCs w:val="24"/>
        </w:rPr>
        <w:t>de 202</w:t>
      </w:r>
      <w:r w:rsidR="00417DD4" w:rsidRPr="00417DD4">
        <w:rPr>
          <w:rFonts w:ascii="Noto Serif" w:hAnsi="Noto Serif" w:cs="Noto Serif"/>
          <w:b/>
          <w:bCs/>
          <w:sz w:val="24"/>
          <w:szCs w:val="24"/>
        </w:rPr>
        <w:t>3</w:t>
      </w:r>
      <w:r w:rsidRPr="00417DD4">
        <w:rPr>
          <w:rFonts w:ascii="Noto Serif" w:hAnsi="Noto Serif" w:cs="Noto Serif"/>
          <w:b/>
          <w:bCs/>
          <w:sz w:val="24"/>
          <w:szCs w:val="24"/>
        </w:rPr>
        <w:t>.</w:t>
      </w:r>
    </w:p>
    <w:p w14:paraId="1BED1104" w14:textId="77777777" w:rsidR="008A52B4" w:rsidRDefault="008A52B4" w:rsidP="00417DD4">
      <w:pPr>
        <w:pStyle w:val="NormalWeb"/>
        <w:shd w:val="clear" w:color="auto" w:fill="FFFFFF"/>
        <w:spacing w:before="0" w:beforeAutospacing="0" w:after="0" w:afterAutospacing="0"/>
        <w:rPr>
          <w:rFonts w:ascii="Noto Serif" w:hAnsi="Noto Serif" w:cs="Noto Serif"/>
        </w:rPr>
      </w:pPr>
    </w:p>
    <w:p w14:paraId="33668FF7" w14:textId="5A3AC6E4" w:rsidR="008A52B4" w:rsidRPr="008A52B4" w:rsidRDefault="008A52B4" w:rsidP="00417DD4">
      <w:pPr>
        <w:pStyle w:val="NormalWeb"/>
        <w:shd w:val="clear" w:color="auto" w:fill="FFFFFF"/>
        <w:spacing w:before="0" w:beforeAutospacing="0" w:after="0" w:afterAutospacing="0"/>
        <w:rPr>
          <w:rFonts w:ascii="Noto Serif" w:hAnsi="Noto Serif" w:cs="Noto Serif"/>
          <w:b/>
          <w:bCs/>
        </w:rPr>
      </w:pPr>
      <w:r w:rsidRPr="008A52B4">
        <w:rPr>
          <w:rFonts w:ascii="Noto Serif" w:hAnsi="Noto Serif" w:cs="Noto Serif"/>
          <w:b/>
          <w:bCs/>
        </w:rPr>
        <w:t>Señores</w:t>
      </w:r>
    </w:p>
    <w:p w14:paraId="46D29403" w14:textId="6D53656A" w:rsidR="00417DD4" w:rsidRDefault="008A52B4" w:rsidP="00417DD4">
      <w:pPr>
        <w:pStyle w:val="NormalWeb"/>
        <w:shd w:val="clear" w:color="auto" w:fill="FFFFFF"/>
        <w:spacing w:before="0" w:beforeAutospacing="0" w:after="0" w:afterAutospacing="0"/>
        <w:rPr>
          <w:rFonts w:ascii="Noto Serif" w:hAnsi="Noto Serif" w:cs="Noto Serif"/>
        </w:rPr>
      </w:pPr>
      <w:r>
        <w:rPr>
          <w:rFonts w:ascii="Noto Serif" w:hAnsi="Noto Serif" w:cs="Noto Serif"/>
        </w:rPr>
        <w:t>Ministerio de Salud y Protección Social</w:t>
      </w:r>
    </w:p>
    <w:p w14:paraId="762AC88C" w14:textId="67C0DFB7" w:rsidR="008A52B4" w:rsidRDefault="008A52B4" w:rsidP="00417DD4">
      <w:pPr>
        <w:pStyle w:val="NormalWeb"/>
        <w:shd w:val="clear" w:color="auto" w:fill="FFFFFF"/>
        <w:spacing w:before="0" w:beforeAutospacing="0" w:after="0" w:afterAutospacing="0"/>
        <w:rPr>
          <w:rFonts w:ascii="Noto Serif" w:hAnsi="Noto Serif" w:cs="Noto Serif"/>
        </w:rPr>
      </w:pPr>
      <w:r>
        <w:rPr>
          <w:rFonts w:ascii="Noto Serif" w:hAnsi="Noto Serif" w:cs="Noto Serif"/>
        </w:rPr>
        <w:t>Ciudad</w:t>
      </w:r>
    </w:p>
    <w:p w14:paraId="0C01D9DC" w14:textId="77777777" w:rsidR="008A52B4" w:rsidRDefault="008A52B4" w:rsidP="00417DD4">
      <w:pPr>
        <w:pStyle w:val="NormalWeb"/>
        <w:shd w:val="clear" w:color="auto" w:fill="FFFFFF"/>
        <w:spacing w:before="0" w:beforeAutospacing="0" w:after="0" w:afterAutospacing="0"/>
        <w:rPr>
          <w:rFonts w:ascii="Noto Serif" w:hAnsi="Noto Serif" w:cs="Noto Serif"/>
        </w:rPr>
      </w:pPr>
    </w:p>
    <w:p w14:paraId="71C3B17C" w14:textId="63E81079" w:rsidR="008A52B4" w:rsidRPr="00417DD4" w:rsidRDefault="008A52B4" w:rsidP="008A52B4">
      <w:pPr>
        <w:pStyle w:val="NormalWeb"/>
        <w:shd w:val="clear" w:color="auto" w:fill="FFFFFF"/>
        <w:spacing w:before="0" w:beforeAutospacing="0" w:after="0" w:afterAutospacing="0"/>
        <w:jc w:val="right"/>
        <w:rPr>
          <w:rFonts w:ascii="Noto Serif" w:hAnsi="Noto Serif" w:cs="Noto Serif"/>
        </w:rPr>
      </w:pPr>
      <w:proofErr w:type="spellStart"/>
      <w:r w:rsidRPr="008A52B4">
        <w:rPr>
          <w:rFonts w:ascii="Noto Serif" w:hAnsi="Noto Serif" w:cs="Noto Serif"/>
        </w:rPr>
        <w:t>Ref</w:t>
      </w:r>
      <w:proofErr w:type="spellEnd"/>
      <w:r w:rsidRPr="008A52B4">
        <w:rPr>
          <w:rFonts w:ascii="Noto Serif" w:hAnsi="Noto Serif" w:cs="Noto Serif"/>
        </w:rPr>
        <w:t xml:space="preserve">: Comentarios a la Resolución 881 de 2023 </w:t>
      </w:r>
      <w:r w:rsidRPr="008A52B4">
        <w:rPr>
          <w:rFonts w:ascii="Noto Serif" w:hAnsi="Noto Serif" w:cs="Noto Serif"/>
          <w:i/>
          <w:iCs/>
        </w:rPr>
        <w:t xml:space="preserve">“Por la cual se inicia de oficio el procedimiento administrativo de declaratoria de existencia de razones de interés público para someter las patentes de los medicamentos cuyo principio activo es el </w:t>
      </w:r>
      <w:proofErr w:type="spellStart"/>
      <w:r w:rsidRPr="008A52B4">
        <w:rPr>
          <w:rFonts w:ascii="Noto Serif" w:hAnsi="Noto Serif" w:cs="Noto Serif"/>
          <w:i/>
          <w:iCs/>
        </w:rPr>
        <w:t>Dolutegravir</w:t>
      </w:r>
      <w:proofErr w:type="spellEnd"/>
      <w:r w:rsidRPr="008A52B4">
        <w:rPr>
          <w:rFonts w:ascii="Noto Serif" w:hAnsi="Noto Serif" w:cs="Noto Serif"/>
          <w:i/>
          <w:iCs/>
        </w:rPr>
        <w:t xml:space="preserve"> a licencia obligatoria”</w:t>
      </w:r>
    </w:p>
    <w:p w14:paraId="256B72ED" w14:textId="187BA6BC" w:rsidR="008A52B4" w:rsidRPr="008A52B4" w:rsidRDefault="00417DD4" w:rsidP="008A52B4">
      <w:pPr>
        <w:pStyle w:val="NormalWeb"/>
        <w:shd w:val="clear" w:color="auto" w:fill="FFFFFF"/>
        <w:spacing w:after="0"/>
        <w:jc w:val="both"/>
        <w:rPr>
          <w:rFonts w:ascii="Noto Serif" w:hAnsi="Noto Serif" w:cs="Noto Serif"/>
        </w:rPr>
      </w:pPr>
      <w:r w:rsidRPr="00417DD4">
        <w:rPr>
          <w:rFonts w:ascii="Noto Serif" w:hAnsi="Noto Serif" w:cs="Noto Serif"/>
        </w:rPr>
        <w:br/>
      </w:r>
      <w:r w:rsidR="008A52B4" w:rsidRPr="008A52B4">
        <w:rPr>
          <w:rFonts w:ascii="Noto Serif" w:hAnsi="Noto Serif" w:cs="Noto Serif"/>
        </w:rPr>
        <w:t>Respetados Señores:</w:t>
      </w:r>
    </w:p>
    <w:p w14:paraId="68DE18F9" w14:textId="4C394CC9" w:rsidR="008A52B4" w:rsidRPr="008A52B4" w:rsidRDefault="008A52B4" w:rsidP="008A52B4">
      <w:pPr>
        <w:pStyle w:val="NormalWeb"/>
        <w:shd w:val="clear" w:color="auto" w:fill="FFFFFF"/>
        <w:spacing w:after="0"/>
        <w:jc w:val="both"/>
        <w:rPr>
          <w:rFonts w:ascii="Noto Serif" w:hAnsi="Noto Serif" w:cs="Noto Serif"/>
        </w:rPr>
      </w:pPr>
      <w:r w:rsidRPr="008A52B4">
        <w:rPr>
          <w:rFonts w:ascii="Noto Serif" w:hAnsi="Noto Serif" w:cs="Noto Serif"/>
        </w:rPr>
        <w:t>Los integrantes del C</w:t>
      </w:r>
      <w:r>
        <w:rPr>
          <w:rFonts w:ascii="Noto Serif" w:hAnsi="Noto Serif" w:cs="Noto Serif"/>
        </w:rPr>
        <w:t>omité de Veeduría y Cooperación en Salud (C</w:t>
      </w:r>
      <w:r w:rsidRPr="008A52B4">
        <w:rPr>
          <w:rFonts w:ascii="Noto Serif" w:hAnsi="Noto Serif" w:cs="Noto Serif"/>
        </w:rPr>
        <w:t>VCS</w:t>
      </w:r>
      <w:r>
        <w:rPr>
          <w:rFonts w:ascii="Noto Serif" w:hAnsi="Noto Serif" w:cs="Noto Serif"/>
        </w:rPr>
        <w:t>)</w:t>
      </w:r>
      <w:r>
        <w:rPr>
          <w:rStyle w:val="Refdenotaalpie"/>
          <w:rFonts w:ascii="Noto Serif" w:hAnsi="Noto Serif" w:cs="Noto Serif"/>
        </w:rPr>
        <w:footnoteReference w:id="1"/>
      </w:r>
      <w:r w:rsidRPr="008A52B4">
        <w:rPr>
          <w:rFonts w:ascii="Noto Serif" w:hAnsi="Noto Serif" w:cs="Noto Serif"/>
        </w:rPr>
        <w:t>, como organización de la sociedad civil y en el marco de la respectiva consulta pública, presenta en esta comunicación aportes y comentarios a la Resolución de la referencia. Lo anterior teniendo en cuenta el Artículo 4 consistente en que para “</w:t>
      </w:r>
      <w:r w:rsidRPr="00421EE9">
        <w:rPr>
          <w:rFonts w:ascii="Noto Serif" w:hAnsi="Noto Serif" w:cs="Noto Serif"/>
          <w:i/>
          <w:iCs/>
        </w:rPr>
        <w:t>Los titulares de las patentes, del registro sanitario y los terceros determinados e indeterminados tendrán un término máximo de diez (10) días hábiles, contados a partir del día siguiente a la fecha de la publicación de este acto administrativo en el Diario Oficial para pronunciarse frente al mismo…”</w:t>
      </w:r>
    </w:p>
    <w:p w14:paraId="3E1E4D56" w14:textId="2B7101B1" w:rsidR="00417DD4" w:rsidRDefault="008A52B4" w:rsidP="008A52B4">
      <w:pPr>
        <w:pStyle w:val="NormalWeb"/>
        <w:shd w:val="clear" w:color="auto" w:fill="FFFFFF"/>
        <w:spacing w:before="0" w:beforeAutospacing="0" w:after="0" w:afterAutospacing="0"/>
        <w:jc w:val="both"/>
        <w:rPr>
          <w:rFonts w:ascii="Noto Serif" w:hAnsi="Noto Serif" w:cs="Noto Serif"/>
        </w:rPr>
      </w:pPr>
      <w:r w:rsidRPr="008A52B4">
        <w:rPr>
          <w:rFonts w:ascii="Noto Serif" w:hAnsi="Noto Serif" w:cs="Noto Serif"/>
        </w:rPr>
        <w:t>En ese sentido, se presentan los comentarios y aportes a la norma:</w:t>
      </w:r>
    </w:p>
    <w:p w14:paraId="5AE42074" w14:textId="77777777" w:rsidR="008A52B4" w:rsidRDefault="008A52B4" w:rsidP="008A52B4">
      <w:pPr>
        <w:pStyle w:val="NormalWeb"/>
        <w:shd w:val="clear" w:color="auto" w:fill="FFFFFF"/>
        <w:spacing w:before="0" w:beforeAutospacing="0" w:after="0" w:afterAutospacing="0"/>
        <w:jc w:val="both"/>
        <w:rPr>
          <w:rFonts w:ascii="Noto Serif" w:hAnsi="Noto Serif" w:cs="Noto Serif"/>
        </w:rPr>
      </w:pPr>
    </w:p>
    <w:tbl>
      <w:tblPr>
        <w:tblStyle w:val="Tablaconcuadrcula"/>
        <w:tblW w:w="0" w:type="auto"/>
        <w:tblLook w:val="04A0" w:firstRow="1" w:lastRow="0" w:firstColumn="1" w:lastColumn="0" w:noHBand="0" w:noVBand="1"/>
      </w:tblPr>
      <w:tblGrid>
        <w:gridCol w:w="8828"/>
      </w:tblGrid>
      <w:tr w:rsidR="00421EE9" w14:paraId="203B7861" w14:textId="77777777" w:rsidTr="00F53422">
        <w:tc>
          <w:tcPr>
            <w:tcW w:w="8828" w:type="dxa"/>
          </w:tcPr>
          <w:p w14:paraId="38F4BE76" w14:textId="77777777" w:rsidR="00421EE9" w:rsidRPr="00421EE9" w:rsidRDefault="00421EE9" w:rsidP="00F53422">
            <w:pPr>
              <w:jc w:val="both"/>
              <w:rPr>
                <w:rFonts w:ascii="Noto Serif" w:hAnsi="Noto Serif" w:cs="Noto Serif"/>
                <w:b/>
                <w:bCs/>
                <w:sz w:val="18"/>
                <w:szCs w:val="18"/>
              </w:rPr>
            </w:pPr>
            <w:r w:rsidRPr="00421EE9">
              <w:rPr>
                <w:rFonts w:ascii="Noto Serif" w:hAnsi="Noto Serif" w:cs="Noto Serif"/>
                <w:b/>
                <w:bCs/>
                <w:sz w:val="18"/>
                <w:szCs w:val="18"/>
              </w:rPr>
              <w:t>Comentario/Aporte/Sugerencia</w:t>
            </w:r>
          </w:p>
        </w:tc>
      </w:tr>
      <w:tr w:rsidR="00421EE9" w14:paraId="432E10B6" w14:textId="77777777" w:rsidTr="00F53422">
        <w:tc>
          <w:tcPr>
            <w:tcW w:w="8828" w:type="dxa"/>
          </w:tcPr>
          <w:p w14:paraId="2485EDF8" w14:textId="77777777" w:rsidR="00421EE9" w:rsidRPr="00421EE9" w:rsidRDefault="00421EE9" w:rsidP="00F53422">
            <w:pPr>
              <w:jc w:val="both"/>
              <w:rPr>
                <w:rFonts w:ascii="Noto Serif" w:hAnsi="Noto Serif" w:cs="Noto Serif"/>
                <w:b/>
                <w:bCs/>
                <w:sz w:val="18"/>
                <w:szCs w:val="18"/>
              </w:rPr>
            </w:pPr>
            <w:r w:rsidRPr="00421EE9">
              <w:rPr>
                <w:rFonts w:ascii="Noto Serif" w:hAnsi="Noto Serif" w:cs="Noto Serif"/>
                <w:b/>
                <w:bCs/>
                <w:sz w:val="18"/>
                <w:szCs w:val="18"/>
              </w:rPr>
              <w:t>Comentario:</w:t>
            </w:r>
          </w:p>
          <w:p w14:paraId="4106F692" w14:textId="7F082AB7" w:rsidR="00421EE9" w:rsidRPr="00421EE9" w:rsidRDefault="00421EE9" w:rsidP="00421EE9">
            <w:pPr>
              <w:pStyle w:val="Prrafodelista"/>
              <w:numPr>
                <w:ilvl w:val="0"/>
                <w:numId w:val="7"/>
              </w:numPr>
              <w:jc w:val="both"/>
              <w:rPr>
                <w:rFonts w:ascii="Noto Serif" w:hAnsi="Noto Serif" w:cs="Noto Serif"/>
                <w:sz w:val="18"/>
                <w:szCs w:val="18"/>
              </w:rPr>
            </w:pPr>
            <w:r w:rsidRPr="00421EE9">
              <w:rPr>
                <w:rFonts w:ascii="Noto Serif" w:hAnsi="Noto Serif" w:cs="Noto Serif"/>
                <w:sz w:val="18"/>
                <w:szCs w:val="18"/>
              </w:rPr>
              <w:t xml:space="preserve">Celebramos la expedición de la Resolución 881 de 2023 ya que constituye un aporte significativo para </w:t>
            </w:r>
            <w:r w:rsidR="00B75CBF">
              <w:rPr>
                <w:rFonts w:ascii="Noto Serif" w:hAnsi="Noto Serif" w:cs="Noto Serif"/>
                <w:sz w:val="18"/>
                <w:szCs w:val="18"/>
              </w:rPr>
              <w:t xml:space="preserve">el uso </w:t>
            </w:r>
            <w:r w:rsidR="004D12F7">
              <w:rPr>
                <w:rFonts w:ascii="Noto Serif" w:hAnsi="Noto Serif" w:cs="Noto Serif"/>
                <w:sz w:val="18"/>
                <w:szCs w:val="18"/>
              </w:rPr>
              <w:t xml:space="preserve">público </w:t>
            </w:r>
            <w:r w:rsidR="00B75CBF">
              <w:rPr>
                <w:rFonts w:ascii="Noto Serif" w:hAnsi="Noto Serif" w:cs="Noto Serif"/>
                <w:sz w:val="18"/>
                <w:szCs w:val="18"/>
              </w:rPr>
              <w:t xml:space="preserve">no </w:t>
            </w:r>
            <w:r w:rsidR="004D12F7">
              <w:rPr>
                <w:rFonts w:ascii="Noto Serif" w:hAnsi="Noto Serif" w:cs="Noto Serif"/>
                <w:sz w:val="18"/>
                <w:szCs w:val="18"/>
              </w:rPr>
              <w:t>comercial</w:t>
            </w:r>
            <w:r w:rsidRPr="00421EE9">
              <w:rPr>
                <w:rFonts w:ascii="Noto Serif" w:hAnsi="Noto Serif" w:cs="Noto Serif"/>
                <w:sz w:val="18"/>
                <w:szCs w:val="18"/>
              </w:rPr>
              <w:t xml:space="preserve"> de medicamentos cuyo principio activo es el </w:t>
            </w:r>
            <w:proofErr w:type="spellStart"/>
            <w:r w:rsidRPr="00421EE9">
              <w:rPr>
                <w:rFonts w:ascii="Noto Serif" w:hAnsi="Noto Serif" w:cs="Noto Serif"/>
                <w:sz w:val="18"/>
                <w:szCs w:val="18"/>
              </w:rPr>
              <w:t>Dolutegravir</w:t>
            </w:r>
            <w:proofErr w:type="spellEnd"/>
            <w:r w:rsidRPr="00421EE9">
              <w:rPr>
                <w:rFonts w:ascii="Noto Serif" w:hAnsi="Noto Serif" w:cs="Noto Serif"/>
                <w:sz w:val="18"/>
                <w:szCs w:val="18"/>
              </w:rPr>
              <w:t xml:space="preserve"> y por ende, se favorecería el acceso a pacientes </w:t>
            </w:r>
            <w:r>
              <w:rPr>
                <w:rFonts w:ascii="Noto Serif" w:hAnsi="Noto Serif" w:cs="Noto Serif"/>
                <w:sz w:val="18"/>
                <w:szCs w:val="18"/>
              </w:rPr>
              <w:t>con Virus de Inmunodeficiencia Humana (</w:t>
            </w:r>
            <w:r w:rsidRPr="00421EE9">
              <w:rPr>
                <w:rFonts w:ascii="Noto Serif" w:hAnsi="Noto Serif" w:cs="Noto Serif"/>
                <w:sz w:val="18"/>
                <w:szCs w:val="18"/>
              </w:rPr>
              <w:t>VIH</w:t>
            </w:r>
            <w:r>
              <w:rPr>
                <w:rFonts w:ascii="Noto Serif" w:hAnsi="Noto Serif" w:cs="Noto Serif"/>
                <w:sz w:val="18"/>
                <w:szCs w:val="18"/>
              </w:rPr>
              <w:t>)</w:t>
            </w:r>
            <w:r w:rsidRPr="00421EE9">
              <w:rPr>
                <w:rFonts w:ascii="Noto Serif" w:hAnsi="Noto Serif" w:cs="Noto Serif"/>
                <w:sz w:val="18"/>
                <w:szCs w:val="18"/>
              </w:rPr>
              <w:t xml:space="preserve">, teniendo en cuenta la prevalencia de dicha condición </w:t>
            </w:r>
            <w:r w:rsidR="00F81120" w:rsidRPr="00F81120">
              <w:rPr>
                <w:rFonts w:ascii="Noto Serif" w:hAnsi="Noto Serif" w:cs="Noto Serif"/>
                <w:color w:val="FF0000"/>
                <w:sz w:val="18"/>
                <w:szCs w:val="18"/>
              </w:rPr>
              <w:t>en los residentes en Colombia y  migrantes regulares e irregulares</w:t>
            </w:r>
            <w:r w:rsidRPr="00F81120">
              <w:rPr>
                <w:rFonts w:ascii="Noto Serif" w:hAnsi="Noto Serif" w:cs="Noto Serif"/>
                <w:color w:val="FF0000"/>
                <w:sz w:val="18"/>
                <w:szCs w:val="18"/>
              </w:rPr>
              <w:t>.</w:t>
            </w:r>
          </w:p>
        </w:tc>
      </w:tr>
      <w:tr w:rsidR="00421EE9" w14:paraId="571D722B" w14:textId="77777777" w:rsidTr="00F53422">
        <w:tc>
          <w:tcPr>
            <w:tcW w:w="8828" w:type="dxa"/>
          </w:tcPr>
          <w:p w14:paraId="5943EF81" w14:textId="77777777" w:rsidR="00421EE9" w:rsidRPr="00421EE9" w:rsidRDefault="00421EE9" w:rsidP="00F53422">
            <w:pPr>
              <w:jc w:val="both"/>
              <w:rPr>
                <w:rFonts w:ascii="Noto Serif" w:hAnsi="Noto Serif" w:cs="Noto Serif"/>
                <w:b/>
                <w:bCs/>
                <w:sz w:val="18"/>
                <w:szCs w:val="18"/>
              </w:rPr>
            </w:pPr>
            <w:r w:rsidRPr="00421EE9">
              <w:rPr>
                <w:rFonts w:ascii="Noto Serif" w:hAnsi="Noto Serif" w:cs="Noto Serif"/>
                <w:b/>
                <w:bCs/>
                <w:sz w:val="18"/>
                <w:szCs w:val="18"/>
              </w:rPr>
              <w:t>Comentario:</w:t>
            </w:r>
          </w:p>
          <w:p w14:paraId="1E481C74" w14:textId="3E50F358" w:rsidR="00421EE9" w:rsidRPr="00421EE9" w:rsidRDefault="00421EE9" w:rsidP="00421EE9">
            <w:pPr>
              <w:pStyle w:val="Prrafodelista"/>
              <w:numPr>
                <w:ilvl w:val="0"/>
                <w:numId w:val="7"/>
              </w:numPr>
              <w:jc w:val="both"/>
              <w:rPr>
                <w:rFonts w:ascii="Noto Serif" w:hAnsi="Noto Serif" w:cs="Noto Serif"/>
                <w:sz w:val="18"/>
                <w:szCs w:val="18"/>
              </w:rPr>
            </w:pPr>
            <w:r w:rsidRPr="00421EE9">
              <w:rPr>
                <w:rFonts w:ascii="Noto Serif" w:hAnsi="Noto Serif" w:cs="Noto Serif"/>
                <w:sz w:val="18"/>
                <w:szCs w:val="18"/>
              </w:rPr>
              <w:t xml:space="preserve">Se reconoce que se están aplicando de manera genuina los Salvaguardas en salud pública en materia de Propiedad Intelectual como son el artículo 65 de la Decisión Andina 486 de 2000, </w:t>
            </w:r>
            <w:r w:rsidRPr="00421EE9">
              <w:rPr>
                <w:rFonts w:ascii="Noto Serif" w:hAnsi="Noto Serif" w:cs="Noto Serif"/>
                <w:sz w:val="18"/>
                <w:szCs w:val="18"/>
              </w:rPr>
              <w:lastRenderedPageBreak/>
              <w:t xml:space="preserve">reglamentada por el Decreto 4302 de 2008 y el Decreto 1074 de 2015, por lo que se estaría priorizando la salud pública por encima de los intereses comerciales, </w:t>
            </w:r>
            <w:r>
              <w:rPr>
                <w:rFonts w:ascii="Noto Serif" w:hAnsi="Noto Serif" w:cs="Noto Serif"/>
                <w:sz w:val="18"/>
                <w:szCs w:val="18"/>
              </w:rPr>
              <w:t>considerando</w:t>
            </w:r>
            <w:r w:rsidRPr="00421EE9">
              <w:rPr>
                <w:rFonts w:ascii="Noto Serif" w:hAnsi="Noto Serif" w:cs="Noto Serif"/>
                <w:sz w:val="18"/>
                <w:szCs w:val="18"/>
              </w:rPr>
              <w:t xml:space="preserve"> que las Licencias Obligatorias (LO) para medicamentos ha</w:t>
            </w:r>
            <w:r w:rsidR="00B75CBF">
              <w:rPr>
                <w:rFonts w:ascii="Noto Serif" w:hAnsi="Noto Serif" w:cs="Noto Serif"/>
                <w:sz w:val="18"/>
                <w:szCs w:val="18"/>
              </w:rPr>
              <w:t>n</w:t>
            </w:r>
            <w:r w:rsidRPr="00421EE9">
              <w:rPr>
                <w:rFonts w:ascii="Noto Serif" w:hAnsi="Noto Serif" w:cs="Noto Serif"/>
                <w:sz w:val="18"/>
                <w:szCs w:val="18"/>
              </w:rPr>
              <w:t xml:space="preserve"> sido ampliamente discutida</w:t>
            </w:r>
            <w:r w:rsidR="00B75CBF">
              <w:rPr>
                <w:rFonts w:ascii="Noto Serif" w:hAnsi="Noto Serif" w:cs="Noto Serif"/>
                <w:sz w:val="18"/>
                <w:szCs w:val="18"/>
              </w:rPr>
              <w:t>s</w:t>
            </w:r>
            <w:r w:rsidRPr="00421EE9">
              <w:rPr>
                <w:rFonts w:ascii="Noto Serif" w:hAnsi="Noto Serif" w:cs="Noto Serif"/>
                <w:sz w:val="18"/>
                <w:szCs w:val="18"/>
              </w:rPr>
              <w:t xml:space="preserve"> y utilizada</w:t>
            </w:r>
            <w:r w:rsidR="00B75CBF">
              <w:rPr>
                <w:rFonts w:ascii="Noto Serif" w:hAnsi="Noto Serif" w:cs="Noto Serif"/>
                <w:sz w:val="18"/>
                <w:szCs w:val="18"/>
              </w:rPr>
              <w:t>s</w:t>
            </w:r>
            <w:r w:rsidRPr="00421EE9">
              <w:rPr>
                <w:rFonts w:ascii="Noto Serif" w:hAnsi="Noto Serif" w:cs="Noto Serif"/>
                <w:sz w:val="18"/>
                <w:szCs w:val="18"/>
              </w:rPr>
              <w:t xml:space="preserve"> a nivel global para patologías como el VIH, la malaria y la tuberculosis.</w:t>
            </w:r>
          </w:p>
          <w:p w14:paraId="4F7859E4" w14:textId="77777777" w:rsidR="00421EE9" w:rsidRPr="00421EE9" w:rsidRDefault="00421EE9" w:rsidP="00F53422">
            <w:pPr>
              <w:pStyle w:val="Prrafodelista"/>
              <w:jc w:val="both"/>
              <w:rPr>
                <w:rFonts w:ascii="Noto Serif" w:hAnsi="Noto Serif" w:cs="Noto Serif"/>
                <w:sz w:val="18"/>
                <w:szCs w:val="18"/>
              </w:rPr>
            </w:pPr>
          </w:p>
        </w:tc>
      </w:tr>
      <w:tr w:rsidR="00421EE9" w14:paraId="693B0E38" w14:textId="77777777" w:rsidTr="00F53422">
        <w:tc>
          <w:tcPr>
            <w:tcW w:w="8828" w:type="dxa"/>
          </w:tcPr>
          <w:p w14:paraId="1FB1BC81" w14:textId="77777777" w:rsidR="00421EE9" w:rsidRPr="00421EE9" w:rsidRDefault="00421EE9" w:rsidP="00F53422">
            <w:pPr>
              <w:jc w:val="both"/>
              <w:rPr>
                <w:rFonts w:ascii="Noto Serif" w:hAnsi="Noto Serif" w:cs="Noto Serif"/>
                <w:b/>
                <w:bCs/>
                <w:sz w:val="18"/>
                <w:szCs w:val="18"/>
              </w:rPr>
            </w:pPr>
            <w:commentRangeStart w:id="0"/>
            <w:r w:rsidRPr="00421EE9">
              <w:rPr>
                <w:rFonts w:ascii="Noto Serif" w:hAnsi="Noto Serif" w:cs="Noto Serif"/>
                <w:b/>
                <w:bCs/>
                <w:sz w:val="18"/>
                <w:szCs w:val="18"/>
              </w:rPr>
              <w:lastRenderedPageBreak/>
              <w:t>Sugerencia:</w:t>
            </w:r>
          </w:p>
          <w:p w14:paraId="63B694B5" w14:textId="1216338A" w:rsidR="00421EE9" w:rsidRDefault="00421EE9" w:rsidP="00F53422">
            <w:pPr>
              <w:pStyle w:val="Prrafodelista"/>
              <w:numPr>
                <w:ilvl w:val="0"/>
                <w:numId w:val="7"/>
              </w:numPr>
              <w:jc w:val="both"/>
              <w:rPr>
                <w:rFonts w:ascii="Noto Serif" w:hAnsi="Noto Serif" w:cs="Noto Serif"/>
                <w:sz w:val="18"/>
                <w:szCs w:val="18"/>
              </w:rPr>
            </w:pPr>
            <w:r w:rsidRPr="00421EE9">
              <w:rPr>
                <w:rFonts w:ascii="Noto Serif" w:hAnsi="Noto Serif" w:cs="Noto Serif"/>
                <w:sz w:val="18"/>
                <w:szCs w:val="18"/>
              </w:rPr>
              <w:t>Si bien se reconoce el esfuerzo que se está haciendo por parte del Ministerio</w:t>
            </w:r>
            <w:r>
              <w:rPr>
                <w:rFonts w:ascii="Noto Serif" w:hAnsi="Noto Serif" w:cs="Noto Serif"/>
                <w:sz w:val="18"/>
                <w:szCs w:val="18"/>
              </w:rPr>
              <w:t xml:space="preserve"> de Salud y Protección Social</w:t>
            </w:r>
            <w:r w:rsidRPr="00421EE9">
              <w:rPr>
                <w:rFonts w:ascii="Noto Serif" w:hAnsi="Noto Serif" w:cs="Noto Serif"/>
                <w:sz w:val="18"/>
                <w:szCs w:val="18"/>
              </w:rPr>
              <w:t xml:space="preserve"> para someter las patentes de los medicamentos cuyo principio activo es el </w:t>
            </w:r>
            <w:proofErr w:type="spellStart"/>
            <w:r w:rsidRPr="00421EE9">
              <w:rPr>
                <w:rFonts w:ascii="Noto Serif" w:hAnsi="Noto Serif" w:cs="Noto Serif"/>
                <w:sz w:val="18"/>
                <w:szCs w:val="18"/>
              </w:rPr>
              <w:t>Dolutegravir</w:t>
            </w:r>
            <w:proofErr w:type="spellEnd"/>
            <w:r w:rsidRPr="00421EE9">
              <w:rPr>
                <w:rFonts w:ascii="Noto Serif" w:hAnsi="Noto Serif" w:cs="Noto Serif"/>
                <w:sz w:val="18"/>
                <w:szCs w:val="18"/>
              </w:rPr>
              <w:t xml:space="preserve"> a LO para uso </w:t>
            </w:r>
            <w:r w:rsidR="004D12F7">
              <w:rPr>
                <w:rFonts w:ascii="Noto Serif" w:hAnsi="Noto Serif" w:cs="Noto Serif"/>
                <w:sz w:val="18"/>
                <w:szCs w:val="18"/>
              </w:rPr>
              <w:t>público no comercial</w:t>
            </w:r>
            <w:r w:rsidRPr="00421EE9">
              <w:rPr>
                <w:rFonts w:ascii="Noto Serif" w:hAnsi="Noto Serif" w:cs="Noto Serif"/>
                <w:sz w:val="18"/>
                <w:szCs w:val="18"/>
              </w:rPr>
              <w:t>, preocupa que dicha Resolución no se aplique de manera certera y se limite a otro tipo de acciones. De esta manera</w:t>
            </w:r>
            <w:r>
              <w:rPr>
                <w:rFonts w:ascii="Noto Serif" w:hAnsi="Noto Serif" w:cs="Noto Serif"/>
                <w:sz w:val="18"/>
                <w:szCs w:val="18"/>
              </w:rPr>
              <w:t>,</w:t>
            </w:r>
            <w:r w:rsidRPr="00421EE9">
              <w:rPr>
                <w:rFonts w:ascii="Noto Serif" w:hAnsi="Noto Serif" w:cs="Noto Serif"/>
                <w:sz w:val="18"/>
                <w:szCs w:val="18"/>
              </w:rPr>
              <w:t xml:space="preserve"> sugerimos la consolidación de una agenda y así establecer mecanismos de cumplimiento de la Resolución que busca ser implementada.</w:t>
            </w:r>
            <w:commentRangeEnd w:id="0"/>
            <w:r w:rsidR="00704757">
              <w:rPr>
                <w:rStyle w:val="Refdecomentario"/>
              </w:rPr>
              <w:commentReference w:id="0"/>
            </w:r>
          </w:p>
          <w:p w14:paraId="18B169F8" w14:textId="69E78337" w:rsidR="00421EE9" w:rsidRPr="00421EE9" w:rsidRDefault="00421EE9" w:rsidP="00421EE9">
            <w:pPr>
              <w:pStyle w:val="Prrafodelista"/>
              <w:jc w:val="both"/>
              <w:rPr>
                <w:rFonts w:ascii="Noto Serif" w:hAnsi="Noto Serif" w:cs="Noto Serif"/>
                <w:sz w:val="18"/>
                <w:szCs w:val="18"/>
              </w:rPr>
            </w:pPr>
          </w:p>
        </w:tc>
      </w:tr>
      <w:tr w:rsidR="00421EE9" w14:paraId="6259C2D3" w14:textId="77777777" w:rsidTr="00F53422">
        <w:tc>
          <w:tcPr>
            <w:tcW w:w="8828" w:type="dxa"/>
          </w:tcPr>
          <w:p w14:paraId="199D689A" w14:textId="77777777" w:rsidR="00421EE9" w:rsidRPr="00421EE9" w:rsidRDefault="00421EE9" w:rsidP="00F53422">
            <w:pPr>
              <w:jc w:val="both"/>
              <w:rPr>
                <w:rFonts w:ascii="Noto Serif" w:hAnsi="Noto Serif" w:cs="Noto Serif"/>
                <w:b/>
                <w:bCs/>
                <w:sz w:val="18"/>
                <w:szCs w:val="18"/>
              </w:rPr>
            </w:pPr>
            <w:r w:rsidRPr="00421EE9">
              <w:rPr>
                <w:rFonts w:ascii="Noto Serif" w:hAnsi="Noto Serif" w:cs="Noto Serif"/>
                <w:b/>
                <w:bCs/>
                <w:sz w:val="18"/>
                <w:szCs w:val="18"/>
              </w:rPr>
              <w:t>Aporte:</w:t>
            </w:r>
          </w:p>
          <w:p w14:paraId="4B300F43" w14:textId="77777777" w:rsidR="00421EE9" w:rsidRDefault="00421EE9" w:rsidP="00421EE9">
            <w:pPr>
              <w:pStyle w:val="Prrafodelista"/>
              <w:numPr>
                <w:ilvl w:val="0"/>
                <w:numId w:val="7"/>
              </w:numPr>
              <w:jc w:val="both"/>
              <w:rPr>
                <w:rFonts w:ascii="Noto Serif" w:hAnsi="Noto Serif" w:cs="Noto Serif"/>
                <w:sz w:val="18"/>
                <w:szCs w:val="18"/>
              </w:rPr>
            </w:pPr>
            <w:r w:rsidRPr="00421EE9">
              <w:rPr>
                <w:rFonts w:ascii="Noto Serif" w:hAnsi="Noto Serif" w:cs="Noto Serif"/>
                <w:sz w:val="18"/>
                <w:szCs w:val="18"/>
              </w:rPr>
              <w:t xml:space="preserve">El sometimiento de las patentes de los medicamentos cuyo principio activo es el </w:t>
            </w:r>
            <w:proofErr w:type="spellStart"/>
            <w:r w:rsidRPr="00421EE9">
              <w:rPr>
                <w:rFonts w:ascii="Noto Serif" w:hAnsi="Noto Serif" w:cs="Noto Serif"/>
                <w:sz w:val="18"/>
                <w:szCs w:val="18"/>
              </w:rPr>
              <w:t>Dolutegravir</w:t>
            </w:r>
            <w:proofErr w:type="spellEnd"/>
            <w:r w:rsidRPr="00421EE9">
              <w:rPr>
                <w:rFonts w:ascii="Noto Serif" w:hAnsi="Noto Serif" w:cs="Noto Serif"/>
                <w:sz w:val="18"/>
                <w:szCs w:val="18"/>
              </w:rPr>
              <w:t xml:space="preserve"> a LO para el uso público no comercial, dará potestad al Estado para usar dichos medicamentos a través de una dependencia administrativa</w:t>
            </w:r>
            <w:r>
              <w:rPr>
                <w:rFonts w:ascii="Noto Serif" w:hAnsi="Noto Serif" w:cs="Noto Serif"/>
                <w:sz w:val="18"/>
                <w:szCs w:val="18"/>
              </w:rPr>
              <w:t xml:space="preserve">, </w:t>
            </w:r>
            <w:r w:rsidRPr="00421EE9">
              <w:rPr>
                <w:rFonts w:ascii="Noto Serif" w:hAnsi="Noto Serif" w:cs="Noto Serif"/>
                <w:sz w:val="18"/>
                <w:szCs w:val="18"/>
              </w:rPr>
              <w:t xml:space="preserve">un organismo público o un tercero autorizado a operar en nombre del </w:t>
            </w:r>
            <w:r>
              <w:rPr>
                <w:rFonts w:ascii="Noto Serif" w:hAnsi="Noto Serif" w:cs="Noto Serif"/>
                <w:sz w:val="18"/>
                <w:szCs w:val="18"/>
              </w:rPr>
              <w:t>G</w:t>
            </w:r>
            <w:r w:rsidRPr="00421EE9">
              <w:rPr>
                <w:rFonts w:ascii="Noto Serif" w:hAnsi="Noto Serif" w:cs="Noto Serif"/>
                <w:sz w:val="18"/>
                <w:szCs w:val="18"/>
              </w:rPr>
              <w:t xml:space="preserve">obierno sin autorización del titular de la patente. </w:t>
            </w:r>
          </w:p>
          <w:p w14:paraId="46C2AD78" w14:textId="5E66A53F" w:rsidR="00421EE9" w:rsidRPr="00421EE9" w:rsidRDefault="00421EE9" w:rsidP="00421EE9">
            <w:pPr>
              <w:pStyle w:val="Prrafodelista"/>
              <w:jc w:val="both"/>
              <w:rPr>
                <w:rFonts w:ascii="Noto Serif" w:hAnsi="Noto Serif" w:cs="Noto Serif"/>
                <w:sz w:val="18"/>
                <w:szCs w:val="18"/>
              </w:rPr>
            </w:pPr>
            <w:r w:rsidRPr="00421EE9">
              <w:rPr>
                <w:rFonts w:ascii="Noto Serif" w:hAnsi="Noto Serif" w:cs="Noto Serif"/>
                <w:sz w:val="18"/>
                <w:szCs w:val="18"/>
              </w:rPr>
              <w:t>De esta forma, todos los medicamentos producidos bajo esta modalidad deberán cumplir los mismos estándares de calidad que medicamentos de marca o pioneros. En ese sentido</w:t>
            </w:r>
            <w:r>
              <w:rPr>
                <w:rFonts w:ascii="Noto Serif" w:hAnsi="Noto Serif" w:cs="Noto Serif"/>
                <w:sz w:val="18"/>
                <w:szCs w:val="18"/>
              </w:rPr>
              <w:t>,</w:t>
            </w:r>
            <w:r w:rsidRPr="00421EE9">
              <w:rPr>
                <w:rFonts w:ascii="Noto Serif" w:hAnsi="Noto Serif" w:cs="Noto Serif"/>
                <w:sz w:val="18"/>
                <w:szCs w:val="18"/>
              </w:rPr>
              <w:t xml:space="preserve"> se recuerda que el </w:t>
            </w:r>
            <w:proofErr w:type="spellStart"/>
            <w:r w:rsidRPr="00421EE9">
              <w:rPr>
                <w:rFonts w:ascii="Noto Serif" w:hAnsi="Noto Serif" w:cs="Noto Serif"/>
                <w:sz w:val="18"/>
                <w:szCs w:val="18"/>
              </w:rPr>
              <w:t>Dolutegravir</w:t>
            </w:r>
            <w:proofErr w:type="spellEnd"/>
            <w:r w:rsidRPr="00421EE9">
              <w:rPr>
                <w:rFonts w:ascii="Noto Serif" w:hAnsi="Noto Serif" w:cs="Noto Serif"/>
                <w:sz w:val="18"/>
                <w:szCs w:val="18"/>
              </w:rPr>
              <w:t xml:space="preserve"> no se encuentra en el listado de moléculas que requieren estudios de Bioequivalencia (BE)</w:t>
            </w:r>
            <w:r w:rsidRPr="00421EE9">
              <w:rPr>
                <w:vertAlign w:val="superscript"/>
              </w:rPr>
              <w:footnoteReference w:id="2"/>
            </w:r>
            <w:r w:rsidRPr="00421EE9">
              <w:rPr>
                <w:rFonts w:ascii="Noto Serif" w:hAnsi="Noto Serif" w:cs="Noto Serif"/>
                <w:sz w:val="18"/>
                <w:szCs w:val="18"/>
              </w:rPr>
              <w:t xml:space="preserve"> y las formas farmacéuticas de las patentes reportadas no son de liberación modificada, por lo que la BE no deberá suponer una barrera administrativa o de percepción para la comercialización de estos medicamentos derivados de dicho principio activo</w:t>
            </w:r>
            <w:r w:rsidRPr="00421EE9">
              <w:rPr>
                <w:vertAlign w:val="superscript"/>
              </w:rPr>
              <w:footnoteReference w:id="3"/>
            </w:r>
            <w:r>
              <w:rPr>
                <w:rFonts w:ascii="Noto Serif" w:hAnsi="Noto Serif" w:cs="Noto Serif"/>
                <w:sz w:val="18"/>
                <w:szCs w:val="18"/>
              </w:rPr>
              <w:t>.</w:t>
            </w:r>
            <w:r w:rsidRPr="00421EE9">
              <w:rPr>
                <w:rFonts w:ascii="Noto Serif" w:hAnsi="Noto Serif" w:cs="Noto Serif"/>
                <w:sz w:val="18"/>
                <w:szCs w:val="18"/>
              </w:rPr>
              <w:t xml:space="preserve"> </w:t>
            </w:r>
          </w:p>
          <w:p w14:paraId="3585A00C" w14:textId="77777777" w:rsidR="00421EE9" w:rsidRPr="00421EE9" w:rsidRDefault="00421EE9" w:rsidP="00F53422">
            <w:pPr>
              <w:jc w:val="both"/>
              <w:rPr>
                <w:rFonts w:ascii="Noto Serif" w:hAnsi="Noto Serif" w:cs="Noto Serif"/>
                <w:sz w:val="18"/>
                <w:szCs w:val="18"/>
              </w:rPr>
            </w:pPr>
          </w:p>
        </w:tc>
      </w:tr>
      <w:tr w:rsidR="00421EE9" w14:paraId="3970722F" w14:textId="77777777" w:rsidTr="00F53422">
        <w:tc>
          <w:tcPr>
            <w:tcW w:w="8828" w:type="dxa"/>
          </w:tcPr>
          <w:p w14:paraId="28940A05" w14:textId="77777777" w:rsidR="00421EE9" w:rsidRPr="00421EE9" w:rsidRDefault="00421EE9" w:rsidP="00F53422">
            <w:pPr>
              <w:jc w:val="both"/>
              <w:rPr>
                <w:rFonts w:ascii="Noto Serif" w:hAnsi="Noto Serif" w:cs="Noto Serif"/>
                <w:b/>
                <w:bCs/>
                <w:sz w:val="18"/>
                <w:szCs w:val="18"/>
              </w:rPr>
            </w:pPr>
            <w:r w:rsidRPr="00421EE9">
              <w:rPr>
                <w:rFonts w:ascii="Noto Serif" w:hAnsi="Noto Serif" w:cs="Noto Serif"/>
                <w:b/>
                <w:bCs/>
                <w:sz w:val="18"/>
                <w:szCs w:val="18"/>
              </w:rPr>
              <w:t>Aporte:</w:t>
            </w:r>
          </w:p>
          <w:p w14:paraId="525134D6" w14:textId="77777777" w:rsidR="00421EE9" w:rsidRPr="00421EE9" w:rsidRDefault="00421EE9" w:rsidP="00F53422">
            <w:pPr>
              <w:jc w:val="both"/>
              <w:rPr>
                <w:rFonts w:ascii="Noto Serif" w:hAnsi="Noto Serif" w:cs="Noto Serif"/>
                <w:sz w:val="18"/>
                <w:szCs w:val="18"/>
              </w:rPr>
            </w:pPr>
          </w:p>
          <w:p w14:paraId="1064D97A" w14:textId="6ED955EA" w:rsidR="00421EE9" w:rsidRPr="00421EE9" w:rsidRDefault="00421EE9" w:rsidP="00421EE9">
            <w:pPr>
              <w:pStyle w:val="Prrafodelista"/>
              <w:numPr>
                <w:ilvl w:val="0"/>
                <w:numId w:val="7"/>
              </w:numPr>
              <w:jc w:val="both"/>
              <w:rPr>
                <w:rFonts w:ascii="Noto Serif" w:hAnsi="Noto Serif" w:cs="Noto Serif"/>
                <w:sz w:val="18"/>
                <w:szCs w:val="18"/>
              </w:rPr>
            </w:pPr>
            <w:r w:rsidRPr="00421EE9">
              <w:rPr>
                <w:rFonts w:ascii="Noto Serif" w:hAnsi="Noto Serif" w:cs="Noto Serif"/>
                <w:sz w:val="18"/>
                <w:szCs w:val="18"/>
              </w:rPr>
              <w:t>Como bien lo señalan los considerandos de la Resolución 881, el uso público no comercial de genéricos de</w:t>
            </w:r>
            <w:r>
              <w:rPr>
                <w:rFonts w:ascii="Noto Serif" w:hAnsi="Noto Serif" w:cs="Noto Serif"/>
                <w:sz w:val="18"/>
                <w:szCs w:val="18"/>
              </w:rPr>
              <w:t>l</w:t>
            </w:r>
            <w:r w:rsidRPr="00421EE9">
              <w:rPr>
                <w:rFonts w:ascii="Noto Serif" w:hAnsi="Noto Serif" w:cs="Noto Serif"/>
                <w:sz w:val="18"/>
                <w:szCs w:val="18"/>
              </w:rPr>
              <w:t xml:space="preserve"> </w:t>
            </w:r>
            <w:proofErr w:type="spellStart"/>
            <w:r w:rsidRPr="00421EE9">
              <w:rPr>
                <w:rFonts w:ascii="Noto Serif" w:hAnsi="Noto Serif" w:cs="Noto Serif"/>
                <w:sz w:val="18"/>
                <w:szCs w:val="18"/>
              </w:rPr>
              <w:t>Dolutegravir</w:t>
            </w:r>
            <w:proofErr w:type="spellEnd"/>
            <w:r w:rsidRPr="00421EE9">
              <w:rPr>
                <w:rFonts w:ascii="Noto Serif" w:hAnsi="Noto Serif" w:cs="Noto Serif"/>
                <w:sz w:val="18"/>
                <w:szCs w:val="18"/>
              </w:rPr>
              <w:t xml:space="preserve"> implica una reducción financiera sustancial, posibilitando el tratamiento de mayor número de pacientes con la misma inversión</w:t>
            </w:r>
            <w:r w:rsidR="00F81120">
              <w:rPr>
                <w:rFonts w:ascii="Noto Serif" w:hAnsi="Noto Serif" w:cs="Noto Serif"/>
                <w:sz w:val="18"/>
                <w:szCs w:val="18"/>
              </w:rPr>
              <w:t>. N</w:t>
            </w:r>
            <w:r w:rsidRPr="00421EE9">
              <w:rPr>
                <w:rFonts w:ascii="Noto Serif" w:hAnsi="Noto Serif" w:cs="Noto Serif"/>
                <w:sz w:val="18"/>
                <w:szCs w:val="18"/>
              </w:rPr>
              <w:t>o obstante, actores de la sociedad civil organizada han encontrado inconsistencias en datos del sistema de información de regulación de precios de</w:t>
            </w:r>
            <w:r>
              <w:rPr>
                <w:rFonts w:ascii="Noto Serif" w:hAnsi="Noto Serif" w:cs="Noto Serif"/>
                <w:sz w:val="18"/>
                <w:szCs w:val="18"/>
              </w:rPr>
              <w:t>l</w:t>
            </w:r>
            <w:r w:rsidRPr="00421EE9">
              <w:rPr>
                <w:rFonts w:ascii="Noto Serif" w:hAnsi="Noto Serif" w:cs="Noto Serif"/>
                <w:sz w:val="18"/>
                <w:szCs w:val="18"/>
              </w:rPr>
              <w:t xml:space="preserve"> </w:t>
            </w:r>
            <w:proofErr w:type="spellStart"/>
            <w:r w:rsidRPr="00421EE9">
              <w:rPr>
                <w:rFonts w:ascii="Noto Serif" w:hAnsi="Noto Serif" w:cs="Noto Serif"/>
                <w:sz w:val="18"/>
                <w:szCs w:val="18"/>
              </w:rPr>
              <w:t>Dolutegravir</w:t>
            </w:r>
            <w:proofErr w:type="spellEnd"/>
            <w:r w:rsidRPr="00421EE9">
              <w:rPr>
                <w:rFonts w:ascii="Noto Serif" w:hAnsi="Noto Serif" w:cs="Noto Serif"/>
                <w:sz w:val="18"/>
                <w:szCs w:val="18"/>
              </w:rPr>
              <w:t xml:space="preserve"> y sus Combinaciones</w:t>
            </w:r>
            <w:r w:rsidR="00E46CAA">
              <w:rPr>
                <w:rStyle w:val="Refdenotaalpie"/>
                <w:rFonts w:ascii="Noto Serif" w:hAnsi="Noto Serif" w:cs="Noto Serif"/>
                <w:sz w:val="18"/>
                <w:szCs w:val="18"/>
              </w:rPr>
              <w:footnoteReference w:id="4"/>
            </w:r>
            <w:r w:rsidRPr="00421EE9">
              <w:rPr>
                <w:rFonts w:ascii="Noto Serif" w:hAnsi="Noto Serif" w:cs="Noto Serif"/>
                <w:color w:val="202124"/>
                <w:sz w:val="18"/>
                <w:szCs w:val="18"/>
                <w:shd w:val="clear" w:color="auto" w:fill="FFFFFF"/>
              </w:rPr>
              <w:t>.</w:t>
            </w:r>
          </w:p>
          <w:p w14:paraId="07F7C7BC" w14:textId="77777777" w:rsidR="00421EE9" w:rsidRPr="00421EE9" w:rsidRDefault="00421EE9" w:rsidP="00F53422">
            <w:pPr>
              <w:pStyle w:val="Prrafodelista"/>
              <w:jc w:val="both"/>
              <w:rPr>
                <w:rFonts w:ascii="Noto Serif" w:hAnsi="Noto Serif" w:cs="Noto Serif"/>
                <w:sz w:val="18"/>
                <w:szCs w:val="18"/>
              </w:rPr>
            </w:pPr>
          </w:p>
          <w:p w14:paraId="47B6236E" w14:textId="0E73F6F9" w:rsidR="00421EE9" w:rsidRPr="00421EE9" w:rsidRDefault="00421EE9" w:rsidP="00F53422">
            <w:pPr>
              <w:pStyle w:val="Prrafodelista"/>
              <w:jc w:val="both"/>
              <w:rPr>
                <w:rFonts w:ascii="Noto Serif" w:hAnsi="Noto Serif" w:cs="Noto Serif"/>
                <w:sz w:val="18"/>
                <w:szCs w:val="18"/>
              </w:rPr>
            </w:pPr>
            <w:r w:rsidRPr="00421EE9">
              <w:rPr>
                <w:rFonts w:ascii="Noto Serif" w:hAnsi="Noto Serif" w:cs="Noto Serif"/>
                <w:sz w:val="18"/>
                <w:szCs w:val="18"/>
              </w:rPr>
              <w:t>Contar con información de precios depurada y ajustar los errores de reporte es esencial para poder estimar el beneficio en el financiamiento de la atención de pacientes con VIH que representa la adquisición de genéricos con el mencionado principio activo</w:t>
            </w:r>
            <w:r w:rsidR="00BB588E">
              <w:rPr>
                <w:rFonts w:ascii="Noto Serif" w:hAnsi="Noto Serif" w:cs="Noto Serif"/>
                <w:sz w:val="18"/>
                <w:szCs w:val="18"/>
              </w:rPr>
              <w:t>.</w:t>
            </w:r>
            <w:r w:rsidRPr="00421EE9">
              <w:rPr>
                <w:rFonts w:ascii="Noto Serif" w:hAnsi="Noto Serif" w:cs="Noto Serif"/>
                <w:sz w:val="18"/>
                <w:szCs w:val="18"/>
              </w:rPr>
              <w:t xml:space="preserve"> </w:t>
            </w:r>
            <w:r w:rsidR="00BB588E">
              <w:rPr>
                <w:rFonts w:ascii="Noto Serif" w:hAnsi="Noto Serif" w:cs="Noto Serif"/>
                <w:sz w:val="18"/>
                <w:szCs w:val="18"/>
              </w:rPr>
              <w:t>A</w:t>
            </w:r>
            <w:r w:rsidRPr="00421EE9">
              <w:rPr>
                <w:rFonts w:ascii="Noto Serif" w:hAnsi="Noto Serif" w:cs="Noto Serif"/>
                <w:sz w:val="18"/>
                <w:szCs w:val="18"/>
              </w:rPr>
              <w:t xml:space="preserve">sí mismo, estos errores de información pueden ser potencialmente utilizados como contrargumento a las consideraciones económicas y financieras a favor del sometimiento de las patentes de los productos a </w:t>
            </w:r>
            <w:r w:rsidR="004D12F7">
              <w:rPr>
                <w:rFonts w:ascii="Noto Serif" w:hAnsi="Noto Serif" w:cs="Noto Serif"/>
                <w:sz w:val="18"/>
                <w:szCs w:val="18"/>
              </w:rPr>
              <w:t>LO</w:t>
            </w:r>
            <w:r w:rsidRPr="00421EE9">
              <w:rPr>
                <w:rFonts w:ascii="Noto Serif" w:hAnsi="Noto Serif" w:cs="Noto Serif"/>
                <w:sz w:val="18"/>
                <w:szCs w:val="18"/>
              </w:rPr>
              <w:t>.</w:t>
            </w:r>
          </w:p>
          <w:p w14:paraId="317A0C47" w14:textId="77777777" w:rsidR="00421EE9" w:rsidRPr="00421EE9" w:rsidRDefault="00421EE9" w:rsidP="00F53422">
            <w:pPr>
              <w:pStyle w:val="Prrafodelista"/>
              <w:jc w:val="both"/>
              <w:rPr>
                <w:rFonts w:ascii="Noto Serif" w:hAnsi="Noto Serif" w:cs="Noto Serif"/>
                <w:sz w:val="18"/>
                <w:szCs w:val="18"/>
              </w:rPr>
            </w:pPr>
          </w:p>
          <w:p w14:paraId="3235C70D" w14:textId="3F9AEE93" w:rsidR="00421EE9" w:rsidRPr="00421EE9" w:rsidRDefault="00421EE9" w:rsidP="00F53422">
            <w:pPr>
              <w:pStyle w:val="Prrafodelista"/>
              <w:jc w:val="both"/>
              <w:rPr>
                <w:rFonts w:ascii="Noto Serif" w:hAnsi="Noto Serif" w:cs="Noto Serif"/>
                <w:color w:val="FF0000"/>
                <w:sz w:val="18"/>
                <w:szCs w:val="18"/>
              </w:rPr>
            </w:pPr>
            <w:r w:rsidRPr="00421EE9">
              <w:rPr>
                <w:rFonts w:ascii="Noto Serif" w:hAnsi="Noto Serif" w:cs="Noto Serif"/>
                <w:sz w:val="18"/>
                <w:szCs w:val="18"/>
              </w:rPr>
              <w:t xml:space="preserve">Por tal motivo, respetuosamente sugerimos una revisión minuciosa de las inconsistencias y errores del sistema de información de precios de los productos que contienen </w:t>
            </w:r>
            <w:proofErr w:type="spellStart"/>
            <w:r w:rsidRPr="00421EE9">
              <w:rPr>
                <w:rFonts w:ascii="Noto Serif" w:hAnsi="Noto Serif" w:cs="Noto Serif"/>
                <w:sz w:val="18"/>
                <w:szCs w:val="18"/>
              </w:rPr>
              <w:t>Dolutegravir</w:t>
            </w:r>
            <w:proofErr w:type="spellEnd"/>
            <w:r w:rsidRPr="00421EE9">
              <w:rPr>
                <w:rFonts w:ascii="Noto Serif" w:hAnsi="Noto Serif" w:cs="Noto Serif"/>
                <w:sz w:val="18"/>
                <w:szCs w:val="18"/>
              </w:rPr>
              <w:t xml:space="preserve"> y </w:t>
            </w:r>
            <w:r w:rsidRPr="00421EE9">
              <w:rPr>
                <w:rFonts w:ascii="Noto Serif" w:hAnsi="Noto Serif" w:cs="Noto Serif"/>
                <w:sz w:val="18"/>
                <w:szCs w:val="18"/>
              </w:rPr>
              <w:lastRenderedPageBreak/>
              <w:t>que se lleven a cabo las debidas correcciones y ajustes</w:t>
            </w:r>
            <w:r w:rsidRPr="00421EE9">
              <w:rPr>
                <w:rFonts w:ascii="Noto Serif" w:hAnsi="Noto Serif" w:cs="Noto Serif"/>
                <w:color w:val="000000" w:themeColor="text1"/>
                <w:sz w:val="18"/>
                <w:szCs w:val="18"/>
              </w:rPr>
              <w:t>.</w:t>
            </w:r>
            <w:r w:rsidRPr="00421EE9">
              <w:rPr>
                <w:rFonts w:ascii="Noto Serif" w:hAnsi="Noto Serif" w:cs="Noto Serif"/>
                <w:color w:val="FF0000"/>
                <w:sz w:val="18"/>
                <w:szCs w:val="18"/>
              </w:rPr>
              <w:t xml:space="preserve"> (Se sugiere que OBSERVAMED anexe sus hallazgos de inconsistencias a este oficio)</w:t>
            </w:r>
            <w:r w:rsidR="00BB588E">
              <w:rPr>
                <w:rFonts w:ascii="Noto Serif" w:hAnsi="Noto Serif" w:cs="Noto Serif"/>
                <w:color w:val="FF0000"/>
                <w:sz w:val="18"/>
                <w:szCs w:val="18"/>
              </w:rPr>
              <w:t>.</w:t>
            </w:r>
          </w:p>
          <w:p w14:paraId="54220D98" w14:textId="77777777" w:rsidR="00421EE9" w:rsidRPr="00421EE9" w:rsidRDefault="00421EE9" w:rsidP="00F53422">
            <w:pPr>
              <w:jc w:val="both"/>
              <w:rPr>
                <w:rFonts w:ascii="Noto Serif" w:hAnsi="Noto Serif" w:cs="Noto Serif"/>
                <w:sz w:val="18"/>
                <w:szCs w:val="18"/>
              </w:rPr>
            </w:pPr>
          </w:p>
        </w:tc>
      </w:tr>
      <w:tr w:rsidR="00421EE9" w14:paraId="1EDCB573" w14:textId="77777777" w:rsidTr="00F53422">
        <w:tc>
          <w:tcPr>
            <w:tcW w:w="8828" w:type="dxa"/>
          </w:tcPr>
          <w:p w14:paraId="29D9597B" w14:textId="77777777" w:rsidR="00421EE9" w:rsidRPr="00421EE9" w:rsidRDefault="00421EE9" w:rsidP="00F53422">
            <w:pPr>
              <w:jc w:val="both"/>
              <w:rPr>
                <w:rFonts w:ascii="Noto Serif" w:hAnsi="Noto Serif" w:cs="Noto Serif"/>
                <w:b/>
                <w:bCs/>
                <w:sz w:val="18"/>
                <w:szCs w:val="18"/>
              </w:rPr>
            </w:pPr>
            <w:r w:rsidRPr="00421EE9">
              <w:rPr>
                <w:rFonts w:ascii="Noto Serif" w:hAnsi="Noto Serif" w:cs="Noto Serif"/>
                <w:b/>
                <w:bCs/>
                <w:sz w:val="18"/>
                <w:szCs w:val="18"/>
              </w:rPr>
              <w:lastRenderedPageBreak/>
              <w:t>Aporte:</w:t>
            </w:r>
          </w:p>
          <w:p w14:paraId="225480C4" w14:textId="58551BAC" w:rsidR="00421EE9" w:rsidRPr="00421EE9" w:rsidRDefault="00421EE9" w:rsidP="00421EE9">
            <w:pPr>
              <w:pStyle w:val="Prrafodelista"/>
              <w:numPr>
                <w:ilvl w:val="0"/>
                <w:numId w:val="7"/>
              </w:numPr>
              <w:jc w:val="both"/>
              <w:rPr>
                <w:rFonts w:ascii="Noto Serif" w:hAnsi="Noto Serif" w:cs="Noto Serif"/>
                <w:b/>
                <w:bCs/>
                <w:sz w:val="18"/>
                <w:szCs w:val="18"/>
              </w:rPr>
            </w:pPr>
            <w:r w:rsidRPr="00E46CAA">
              <w:rPr>
                <w:rFonts w:ascii="Noto Serif" w:hAnsi="Noto Serif" w:cs="Noto Serif"/>
                <w:color w:val="FF0000"/>
                <w:sz w:val="18"/>
                <w:szCs w:val="18"/>
              </w:rPr>
              <w:t xml:space="preserve">Datos de venta pendiente – </w:t>
            </w:r>
            <w:proofErr w:type="spellStart"/>
            <w:r w:rsidRPr="00E46CAA">
              <w:rPr>
                <w:rFonts w:ascii="Noto Serif" w:hAnsi="Noto Serif" w:cs="Noto Serif"/>
                <w:color w:val="FF0000"/>
                <w:sz w:val="18"/>
                <w:szCs w:val="18"/>
              </w:rPr>
              <w:t>Dr</w:t>
            </w:r>
            <w:proofErr w:type="spellEnd"/>
            <w:r w:rsidRPr="00E46CAA">
              <w:rPr>
                <w:rFonts w:ascii="Noto Serif" w:hAnsi="Noto Serif" w:cs="Noto Serif"/>
                <w:color w:val="FF0000"/>
                <w:sz w:val="18"/>
                <w:szCs w:val="18"/>
              </w:rPr>
              <w:t xml:space="preserve"> Andia, Rossi.</w:t>
            </w:r>
          </w:p>
        </w:tc>
      </w:tr>
    </w:tbl>
    <w:p w14:paraId="07E7CD7D" w14:textId="77777777" w:rsidR="008A52B4" w:rsidRDefault="008A52B4" w:rsidP="008A52B4">
      <w:pPr>
        <w:pStyle w:val="NormalWeb"/>
        <w:shd w:val="clear" w:color="auto" w:fill="FFFFFF"/>
        <w:spacing w:before="0" w:beforeAutospacing="0" w:after="0" w:afterAutospacing="0"/>
        <w:jc w:val="both"/>
        <w:rPr>
          <w:rFonts w:ascii="Noto Serif" w:hAnsi="Noto Serif" w:cs="Noto Serif"/>
        </w:rPr>
      </w:pPr>
    </w:p>
    <w:p w14:paraId="67BD96C2" w14:textId="4F8240E6" w:rsidR="008A52B4" w:rsidRPr="008A52B4" w:rsidRDefault="008A52B4" w:rsidP="008A52B4">
      <w:pPr>
        <w:pStyle w:val="NormalWeb"/>
        <w:shd w:val="clear" w:color="auto" w:fill="FFFFFF"/>
        <w:spacing w:after="0"/>
        <w:jc w:val="both"/>
        <w:rPr>
          <w:rFonts w:ascii="Noto Serif" w:hAnsi="Noto Serif" w:cs="Noto Serif"/>
        </w:rPr>
      </w:pPr>
      <w:r w:rsidRPr="008A52B4">
        <w:rPr>
          <w:rFonts w:ascii="Noto Serif" w:hAnsi="Noto Serif" w:cs="Noto Serif"/>
        </w:rPr>
        <w:t>Los integrantes del CVCS está</w:t>
      </w:r>
      <w:r w:rsidR="00421EE9">
        <w:rPr>
          <w:rFonts w:ascii="Noto Serif" w:hAnsi="Noto Serif" w:cs="Noto Serif"/>
        </w:rPr>
        <w:t>n</w:t>
      </w:r>
      <w:r w:rsidRPr="008A52B4">
        <w:rPr>
          <w:rFonts w:ascii="Noto Serif" w:hAnsi="Noto Serif" w:cs="Noto Serif"/>
        </w:rPr>
        <w:t xml:space="preserve"> a disposición del Ministerio de Salud y Protección Social en el proceso de conceptualización, construcción de agenda y confianzas que permitan aplicar la Resolución 881 en bien de vida, salud, bienestar y acceso de la población humana en Colombia. </w:t>
      </w:r>
    </w:p>
    <w:p w14:paraId="070C087B" w14:textId="6F4D873C" w:rsidR="008A52B4" w:rsidRPr="00417DD4" w:rsidRDefault="008A52B4" w:rsidP="008A52B4">
      <w:pPr>
        <w:pStyle w:val="NormalWeb"/>
        <w:shd w:val="clear" w:color="auto" w:fill="FFFFFF"/>
        <w:spacing w:before="0" w:beforeAutospacing="0" w:after="0" w:afterAutospacing="0"/>
        <w:jc w:val="both"/>
        <w:rPr>
          <w:rFonts w:ascii="Noto Serif" w:hAnsi="Noto Serif" w:cs="Noto Serif"/>
        </w:rPr>
      </w:pPr>
      <w:r w:rsidRPr="008A52B4">
        <w:rPr>
          <w:rFonts w:ascii="Noto Serif" w:hAnsi="Noto Serif" w:cs="Noto Serif"/>
        </w:rPr>
        <w:t>Cordialmente:</w:t>
      </w:r>
    </w:p>
    <w:p w14:paraId="269057D7" w14:textId="629BFAB6" w:rsidR="0085211D" w:rsidRDefault="005E65DD" w:rsidP="0085211D">
      <w:pPr>
        <w:rPr>
          <w:noProof/>
        </w:rPr>
      </w:pPr>
      <w:r>
        <w:rPr>
          <w:noProof/>
        </w:rPr>
        <w:drawing>
          <wp:anchor distT="0" distB="0" distL="114300" distR="114300" simplePos="0" relativeHeight="251661824" behindDoc="0" locked="0" layoutInCell="1" allowOverlap="1" wp14:anchorId="18D4D9A7" wp14:editId="53A2FFCC">
            <wp:simplePos x="0" y="0"/>
            <wp:positionH relativeFrom="column">
              <wp:posOffset>3815715</wp:posOffset>
            </wp:positionH>
            <wp:positionV relativeFrom="paragraph">
              <wp:posOffset>149860</wp:posOffset>
            </wp:positionV>
            <wp:extent cx="1028700" cy="7239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rotWithShape="1">
                    <a:blip r:embed="rId12">
                      <a:extLst>
                        <a:ext uri="{28A0092B-C50C-407E-A947-70E740481C1C}">
                          <a14:useLocalDpi xmlns:a14="http://schemas.microsoft.com/office/drawing/2010/main" val="0"/>
                        </a:ext>
                      </a:extLst>
                    </a:blip>
                    <a:srcRect t="10295" b="11462"/>
                    <a:stretch/>
                  </pic:blipFill>
                  <pic:spPr bwMode="auto">
                    <a:xfrm>
                      <a:off x="0" y="0"/>
                      <a:ext cx="102870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35430">
        <w:rPr>
          <w:noProof/>
        </w:rPr>
        <w:drawing>
          <wp:anchor distT="0" distB="0" distL="114300" distR="114300" simplePos="0" relativeHeight="251657728" behindDoc="0" locked="0" layoutInCell="1" allowOverlap="1" wp14:anchorId="758D7C2A" wp14:editId="7CAA4A2C">
            <wp:simplePos x="0" y="0"/>
            <wp:positionH relativeFrom="column">
              <wp:posOffset>434340</wp:posOffset>
            </wp:positionH>
            <wp:positionV relativeFrom="paragraph">
              <wp:posOffset>207010</wp:posOffset>
            </wp:positionV>
            <wp:extent cx="1054100" cy="5715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4100" cy="571500"/>
                    </a:xfrm>
                    <a:prstGeom prst="rect">
                      <a:avLst/>
                    </a:prstGeom>
                    <a:noFill/>
                  </pic:spPr>
                </pic:pic>
              </a:graphicData>
            </a:graphic>
            <wp14:sizeRelH relativeFrom="page">
              <wp14:pctWidth>0</wp14:pctWidth>
            </wp14:sizeRelH>
            <wp14:sizeRelV relativeFrom="page">
              <wp14:pctHeight>0</wp14:pctHeight>
            </wp14:sizeRelV>
          </wp:anchor>
        </w:drawing>
      </w:r>
    </w:p>
    <w:p w14:paraId="16688AE7" w14:textId="29AD26A4" w:rsidR="00A35430" w:rsidRDefault="00A35430" w:rsidP="0085211D">
      <w:pPr>
        <w:rPr>
          <w:noProof/>
        </w:rPr>
      </w:pPr>
    </w:p>
    <w:p w14:paraId="72B03678" w14:textId="77777777" w:rsidR="00A35430" w:rsidRDefault="00A35430" w:rsidP="0085211D"/>
    <w:p w14:paraId="0A868EFA" w14:textId="5F938319" w:rsidR="0085211D" w:rsidRDefault="00ED37AC" w:rsidP="00ED37AC">
      <w:pPr>
        <w:rPr>
          <w:b/>
          <w:bCs/>
        </w:rPr>
      </w:pPr>
      <w:r>
        <w:rPr>
          <w:b/>
          <w:bCs/>
        </w:rPr>
        <w:t xml:space="preserve">         </w:t>
      </w:r>
      <w:r w:rsidR="003056DD">
        <w:rPr>
          <w:b/>
          <w:bCs/>
        </w:rPr>
        <w:t>Fundación Misión Salud</w:t>
      </w:r>
      <w:r w:rsidR="0085211D">
        <w:rPr>
          <w:b/>
          <w:bCs/>
        </w:rPr>
        <w:t xml:space="preserve"> </w:t>
      </w:r>
      <w:r w:rsidR="0085211D">
        <w:rPr>
          <w:b/>
          <w:bCs/>
        </w:rPr>
        <w:tab/>
      </w:r>
      <w:r w:rsidR="0085211D">
        <w:rPr>
          <w:b/>
          <w:bCs/>
        </w:rPr>
        <w:tab/>
      </w:r>
      <w:r w:rsidR="0085211D">
        <w:rPr>
          <w:b/>
          <w:bCs/>
        </w:rPr>
        <w:tab/>
      </w:r>
      <w:r w:rsidR="0085211D">
        <w:rPr>
          <w:b/>
          <w:bCs/>
        </w:rPr>
        <w:tab/>
        <w:t xml:space="preserve">    </w:t>
      </w:r>
      <w:r>
        <w:rPr>
          <w:b/>
          <w:bCs/>
        </w:rPr>
        <w:t xml:space="preserve">   </w:t>
      </w:r>
      <w:r w:rsidR="005E65DD">
        <w:rPr>
          <w:b/>
          <w:bCs/>
        </w:rPr>
        <w:t xml:space="preserve"> </w:t>
      </w:r>
      <w:r>
        <w:rPr>
          <w:b/>
          <w:bCs/>
        </w:rPr>
        <w:t xml:space="preserve">  </w:t>
      </w:r>
      <w:r w:rsidR="0085211D">
        <w:rPr>
          <w:b/>
          <w:bCs/>
        </w:rPr>
        <w:t>F</w:t>
      </w:r>
      <w:r w:rsidR="005E65DD">
        <w:rPr>
          <w:b/>
          <w:bCs/>
        </w:rPr>
        <w:t>ederación Médica Colombiana</w:t>
      </w:r>
    </w:p>
    <w:p w14:paraId="00CF2DF8" w14:textId="7E0FAC55" w:rsidR="0085211D" w:rsidRDefault="00F74FD1" w:rsidP="0085211D">
      <w:pPr>
        <w:spacing w:after="0" w:line="240" w:lineRule="auto"/>
        <w:jc w:val="both"/>
        <w:rPr>
          <w:b/>
          <w:sz w:val="24"/>
          <w:szCs w:val="24"/>
        </w:rPr>
      </w:pPr>
      <w:r>
        <w:rPr>
          <w:noProof/>
        </w:rPr>
        <w:drawing>
          <wp:anchor distT="0" distB="0" distL="114300" distR="114300" simplePos="0" relativeHeight="251659776" behindDoc="0" locked="0" layoutInCell="1" allowOverlap="1" wp14:anchorId="0F46155D" wp14:editId="403A308E">
            <wp:simplePos x="0" y="0"/>
            <wp:positionH relativeFrom="column">
              <wp:posOffset>3989686</wp:posOffset>
            </wp:positionH>
            <wp:positionV relativeFrom="paragraph">
              <wp:posOffset>27305</wp:posOffset>
            </wp:positionV>
            <wp:extent cx="679545" cy="679545"/>
            <wp:effectExtent l="0" t="0" r="6350"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679545" cy="679545"/>
                    </a:xfrm>
                    <a:prstGeom prst="rect">
                      <a:avLst/>
                    </a:prstGeom>
                    <a:noFill/>
                  </pic:spPr>
                </pic:pic>
              </a:graphicData>
            </a:graphic>
            <wp14:sizeRelH relativeFrom="page">
              <wp14:pctWidth>0</wp14:pctWidth>
            </wp14:sizeRelH>
            <wp14:sizeRelV relativeFrom="page">
              <wp14:pctHeight>0</wp14:pctHeight>
            </wp14:sizeRelV>
          </wp:anchor>
        </w:drawing>
      </w:r>
      <w:r w:rsidR="0085211D">
        <w:rPr>
          <w:noProof/>
        </w:rPr>
        <w:drawing>
          <wp:anchor distT="0" distB="0" distL="114300" distR="114300" simplePos="0" relativeHeight="251658752" behindDoc="0" locked="0" layoutInCell="1" allowOverlap="1" wp14:anchorId="4FE13F4C" wp14:editId="1AF79F98">
            <wp:simplePos x="0" y="0"/>
            <wp:positionH relativeFrom="column">
              <wp:posOffset>708467</wp:posOffset>
            </wp:positionH>
            <wp:positionV relativeFrom="paragraph">
              <wp:posOffset>82218</wp:posOffset>
            </wp:positionV>
            <wp:extent cx="579250" cy="67627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79250" cy="676275"/>
                    </a:xfrm>
                    <a:prstGeom prst="rect">
                      <a:avLst/>
                    </a:prstGeom>
                    <a:noFill/>
                  </pic:spPr>
                </pic:pic>
              </a:graphicData>
            </a:graphic>
            <wp14:sizeRelH relativeFrom="page">
              <wp14:pctWidth>0</wp14:pctWidth>
            </wp14:sizeRelH>
            <wp14:sizeRelV relativeFrom="page">
              <wp14:pctHeight>0</wp14:pctHeight>
            </wp14:sizeRelV>
          </wp:anchor>
        </w:drawing>
      </w:r>
    </w:p>
    <w:p w14:paraId="272343E9" w14:textId="76BAF9D7" w:rsidR="0085211D" w:rsidRDefault="0085211D" w:rsidP="0085211D">
      <w:pPr>
        <w:rPr>
          <w:b/>
          <w:sz w:val="24"/>
          <w:szCs w:val="24"/>
        </w:rPr>
      </w:pPr>
    </w:p>
    <w:p w14:paraId="0EF0F9B2" w14:textId="77777777" w:rsidR="0085211D" w:rsidRDefault="0085211D" w:rsidP="0085211D">
      <w:pPr>
        <w:tabs>
          <w:tab w:val="left" w:pos="2550"/>
        </w:tabs>
        <w:rPr>
          <w:sz w:val="24"/>
          <w:szCs w:val="24"/>
        </w:rPr>
      </w:pPr>
      <w:r>
        <w:rPr>
          <w:sz w:val="24"/>
          <w:szCs w:val="24"/>
        </w:rPr>
        <w:tab/>
      </w:r>
    </w:p>
    <w:p w14:paraId="4DA7DB8C" w14:textId="0CA6450F" w:rsidR="0085211D" w:rsidRDefault="00F74FD1" w:rsidP="0085211D">
      <w:pPr>
        <w:rPr>
          <w:b/>
          <w:bCs/>
        </w:rPr>
      </w:pPr>
      <w:r>
        <w:rPr>
          <w:b/>
          <w:bCs/>
        </w:rPr>
        <w:t>Conferencia Episcopal de Colombia</w:t>
      </w:r>
      <w:r w:rsidR="0085211D">
        <w:rPr>
          <w:b/>
          <w:bCs/>
        </w:rPr>
        <w:t xml:space="preserve"> </w:t>
      </w:r>
      <w:r w:rsidR="0085211D">
        <w:rPr>
          <w:b/>
          <w:bCs/>
        </w:rPr>
        <w:tab/>
      </w:r>
      <w:r w:rsidR="0085211D">
        <w:rPr>
          <w:b/>
          <w:bCs/>
        </w:rPr>
        <w:tab/>
      </w:r>
      <w:r w:rsidR="0085211D">
        <w:rPr>
          <w:b/>
          <w:bCs/>
        </w:rPr>
        <w:tab/>
      </w:r>
      <w:r>
        <w:rPr>
          <w:b/>
          <w:bCs/>
        </w:rPr>
        <w:tab/>
        <w:t xml:space="preserve">     Fundación IFARMA</w:t>
      </w:r>
    </w:p>
    <w:p w14:paraId="6C2ECD87" w14:textId="59C8792D" w:rsidR="0049071C" w:rsidRPr="008A52B4" w:rsidRDefault="0049071C" w:rsidP="00BB588E">
      <w:pPr>
        <w:jc w:val="center"/>
        <w:rPr>
          <w:b/>
          <w:bCs/>
        </w:rPr>
        <w:sectPr w:rsidR="0049071C" w:rsidRPr="008A52B4">
          <w:headerReference w:type="default" r:id="rId16"/>
          <w:footerReference w:type="default" r:id="rId17"/>
          <w:pgSz w:w="12240" w:h="15840"/>
          <w:pgMar w:top="1417" w:right="1701" w:bottom="1417" w:left="1701" w:header="708" w:footer="708" w:gutter="0"/>
          <w:cols w:space="708"/>
          <w:docGrid w:linePitch="360"/>
        </w:sectPr>
      </w:pPr>
    </w:p>
    <w:p w14:paraId="09703B42" w14:textId="61B3FD54" w:rsidR="00E250B0" w:rsidRPr="009705C4" w:rsidRDefault="00BB588E" w:rsidP="00F816CA">
      <w:pPr>
        <w:rPr>
          <w:sz w:val="18"/>
          <w:szCs w:val="18"/>
        </w:rPr>
      </w:pPr>
      <w:r>
        <w:rPr>
          <w:noProof/>
        </w:rPr>
        <w:drawing>
          <wp:anchor distT="0" distB="0" distL="114300" distR="114300" simplePos="0" relativeHeight="251663872" behindDoc="0" locked="0" layoutInCell="1" allowOverlap="1" wp14:anchorId="58EA3CB2" wp14:editId="09249920">
            <wp:simplePos x="0" y="0"/>
            <wp:positionH relativeFrom="margin">
              <wp:align>center</wp:align>
            </wp:positionH>
            <wp:positionV relativeFrom="paragraph">
              <wp:posOffset>164134</wp:posOffset>
            </wp:positionV>
            <wp:extent cx="3098165" cy="1548130"/>
            <wp:effectExtent l="0" t="0" r="6985" b="0"/>
            <wp:wrapSquare wrapText="bothSides"/>
            <wp:docPr id="1389345167" name="Imagen 1389345167"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Uma imagem com texto&#10;&#10;Descrição gerada automaticament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98165" cy="154813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250B0" w:rsidRPr="009705C4" w:rsidSect="0049071C">
      <w:type w:val="continuous"/>
      <w:pgSz w:w="12240" w:h="15840"/>
      <w:pgMar w:top="1417" w:right="1701" w:bottom="1417" w:left="1701" w:header="708" w:footer="708" w:gutter="0"/>
      <w:cols w:num="2"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rancisco Rossi" w:date="2023-06-19T18:50:00Z" w:initials="FR">
    <w:p w14:paraId="11408DBE" w14:textId="77777777" w:rsidR="00704757" w:rsidRDefault="00704757" w:rsidP="00773D46">
      <w:r>
        <w:rPr>
          <w:rStyle w:val="Refdecomentario"/>
        </w:rPr>
        <w:annotationRef/>
      </w:r>
      <w:r>
        <w:rPr>
          <w:rFonts w:ascii="Calibri" w:eastAsia="Calibri" w:hAnsi="Calibri" w:cs="Calibri"/>
          <w:color w:val="000000"/>
          <w:sz w:val="20"/>
          <w:szCs w:val="20"/>
          <w:lang w:eastAsia="es-CO"/>
        </w:rPr>
        <w:t xml:space="preserve">Este párrafo, algo confuso, asume que el ministerio pudiera no ser capaz de llevar a cabo todas las acciones que se derivan de la resolución y la licencia. Parece una condena anticipada. Sugiero retirar.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408D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B21EE" w16cex:dateUtc="2023-06-19T2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408DBE" w16cid:durableId="283B21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E88DE" w14:textId="77777777" w:rsidR="00992B6C" w:rsidRDefault="00992B6C" w:rsidP="006A1328">
      <w:pPr>
        <w:spacing w:after="0" w:line="240" w:lineRule="auto"/>
      </w:pPr>
      <w:r>
        <w:separator/>
      </w:r>
    </w:p>
  </w:endnote>
  <w:endnote w:type="continuationSeparator" w:id="0">
    <w:p w14:paraId="11DE1B03" w14:textId="77777777" w:rsidR="00992B6C" w:rsidRDefault="00992B6C" w:rsidP="006A1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oto Serif">
    <w:panose1 w:val="02020600060500020200"/>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9"/>
      <w:gridCol w:w="4389"/>
    </w:tblGrid>
    <w:tr w:rsidR="0049071C" w:rsidRPr="00617C64" w14:paraId="32884199" w14:textId="77777777" w:rsidTr="00626BA9">
      <w:tc>
        <w:tcPr>
          <w:tcW w:w="4509" w:type="dxa"/>
        </w:tcPr>
        <w:p w14:paraId="750EECEE" w14:textId="77777777" w:rsidR="0049071C" w:rsidRPr="00617C64" w:rsidRDefault="00000000" w:rsidP="0049071C">
          <w:pPr>
            <w:pStyle w:val="Piedepgina"/>
            <w:rPr>
              <w:rFonts w:asciiTheme="majorHAnsi" w:hAnsiTheme="majorHAnsi" w:cstheme="majorHAnsi"/>
              <w:sz w:val="18"/>
              <w:szCs w:val="18"/>
            </w:rPr>
          </w:pPr>
          <w:hyperlink r:id="rId1" w:history="1">
            <w:r w:rsidR="0049071C" w:rsidRPr="00617C64">
              <w:rPr>
                <w:rStyle w:val="Hipervnculo"/>
                <w:rFonts w:asciiTheme="majorHAnsi" w:hAnsiTheme="majorHAnsi" w:cstheme="majorHAnsi"/>
                <w:color w:val="662D91"/>
                <w:sz w:val="18"/>
                <w:szCs w:val="18"/>
              </w:rPr>
              <w:t>www.somosveedoresensalud.org</w:t>
            </w:r>
          </w:hyperlink>
        </w:p>
      </w:tc>
      <w:tc>
        <w:tcPr>
          <w:tcW w:w="4510" w:type="dxa"/>
        </w:tcPr>
        <w:p w14:paraId="58A44F6F" w14:textId="35E5A76B" w:rsidR="0049071C" w:rsidRPr="00617C64" w:rsidRDefault="0049071C" w:rsidP="0049071C">
          <w:pPr>
            <w:pStyle w:val="Piedepgina"/>
            <w:jc w:val="right"/>
            <w:rPr>
              <w:rFonts w:asciiTheme="majorHAnsi" w:hAnsiTheme="majorHAnsi" w:cstheme="majorHAnsi"/>
              <w:sz w:val="18"/>
              <w:szCs w:val="18"/>
            </w:rPr>
          </w:pPr>
          <w:r w:rsidRPr="00617C64">
            <w:rPr>
              <w:rFonts w:asciiTheme="majorHAnsi" w:hAnsiTheme="majorHAnsi" w:cstheme="majorHAnsi"/>
              <w:sz w:val="18"/>
              <w:szCs w:val="18"/>
            </w:rPr>
            <w:t xml:space="preserve">Página </w:t>
          </w:r>
          <w:r>
            <w:rPr>
              <w:rFonts w:asciiTheme="majorHAnsi" w:hAnsiTheme="majorHAnsi" w:cstheme="majorHAnsi"/>
              <w:sz w:val="18"/>
              <w:szCs w:val="18"/>
            </w:rPr>
            <w:fldChar w:fldCharType="begin"/>
          </w:r>
          <w:r>
            <w:rPr>
              <w:rFonts w:asciiTheme="majorHAnsi" w:hAnsiTheme="majorHAnsi" w:cstheme="majorHAnsi"/>
              <w:sz w:val="18"/>
              <w:szCs w:val="18"/>
            </w:rPr>
            <w:instrText xml:space="preserve"> PAGE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2</w:t>
          </w:r>
          <w:r>
            <w:rPr>
              <w:rFonts w:asciiTheme="majorHAnsi" w:hAnsiTheme="majorHAnsi" w:cstheme="majorHAnsi"/>
              <w:sz w:val="18"/>
              <w:szCs w:val="18"/>
            </w:rPr>
            <w:fldChar w:fldCharType="end"/>
          </w:r>
          <w:r w:rsidRPr="00617C64">
            <w:rPr>
              <w:rFonts w:asciiTheme="majorHAnsi" w:hAnsiTheme="majorHAnsi" w:cstheme="majorHAnsi"/>
              <w:sz w:val="18"/>
              <w:szCs w:val="18"/>
            </w:rPr>
            <w:t xml:space="preserve"> de </w:t>
          </w:r>
          <w:r w:rsidR="00BB588E">
            <w:rPr>
              <w:rFonts w:asciiTheme="majorHAnsi" w:hAnsiTheme="majorHAnsi" w:cstheme="majorHAnsi"/>
              <w:sz w:val="18"/>
              <w:szCs w:val="18"/>
            </w:rPr>
            <w:t>3</w:t>
          </w:r>
        </w:p>
      </w:tc>
    </w:tr>
  </w:tbl>
  <w:p w14:paraId="19033146" w14:textId="453C8D1A" w:rsidR="0049071C" w:rsidRDefault="0049071C" w:rsidP="0049071C">
    <w:pPr>
      <w:tabs>
        <w:tab w:val="left" w:pos="3165"/>
      </w:tabs>
    </w:pPr>
    <w:r w:rsidRPr="00043326">
      <w:rPr>
        <w:noProof/>
        <w:sz w:val="10"/>
        <w:szCs w:val="10"/>
      </w:rPr>
      <mc:AlternateContent>
        <mc:Choice Requires="wps">
          <w:drawing>
            <wp:anchor distT="0" distB="0" distL="114300" distR="114300" simplePos="0" relativeHeight="251660288" behindDoc="0" locked="0" layoutInCell="1" allowOverlap="1" wp14:anchorId="2A85F78A" wp14:editId="2DB8D24F">
              <wp:simplePos x="0" y="0"/>
              <wp:positionH relativeFrom="margin">
                <wp:posOffset>-1156335</wp:posOffset>
              </wp:positionH>
              <wp:positionV relativeFrom="paragraph">
                <wp:posOffset>572770</wp:posOffset>
              </wp:positionV>
              <wp:extent cx="7848600" cy="154305"/>
              <wp:effectExtent l="0" t="0" r="19050" b="17145"/>
              <wp:wrapNone/>
              <wp:docPr id="10" name="Retângulo 10"/>
              <wp:cNvGraphicFramePr/>
              <a:graphic xmlns:a="http://schemas.openxmlformats.org/drawingml/2006/main">
                <a:graphicData uri="http://schemas.microsoft.com/office/word/2010/wordprocessingShape">
                  <wps:wsp>
                    <wps:cNvSpPr/>
                    <wps:spPr>
                      <a:xfrm>
                        <a:off x="0" y="0"/>
                        <a:ext cx="7848600" cy="154305"/>
                      </a:xfrm>
                      <a:prstGeom prst="rect">
                        <a:avLst/>
                      </a:prstGeom>
                      <a:solidFill>
                        <a:srgbClr val="662D91"/>
                      </a:solidFill>
                      <a:ln>
                        <a:solidFill>
                          <a:srgbClr val="662D9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4C249" id="Retângulo 10" o:spid="_x0000_s1026" style="position:absolute;margin-left:-91.05pt;margin-top:45.1pt;width:618pt;height:12.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" fillcolor="#662d91" strokecolor="#662d91" strokeweight=".5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90B66" w14:textId="77777777" w:rsidR="00992B6C" w:rsidRDefault="00992B6C" w:rsidP="006A1328">
      <w:pPr>
        <w:spacing w:after="0" w:line="240" w:lineRule="auto"/>
      </w:pPr>
      <w:r>
        <w:separator/>
      </w:r>
    </w:p>
  </w:footnote>
  <w:footnote w:type="continuationSeparator" w:id="0">
    <w:p w14:paraId="6329F42F" w14:textId="77777777" w:rsidR="00992B6C" w:rsidRDefault="00992B6C" w:rsidP="006A1328">
      <w:pPr>
        <w:spacing w:after="0" w:line="240" w:lineRule="auto"/>
      </w:pPr>
      <w:r>
        <w:continuationSeparator/>
      </w:r>
    </w:p>
  </w:footnote>
  <w:footnote w:id="1">
    <w:p w14:paraId="4D438AAB" w14:textId="380A6728" w:rsidR="008A52B4" w:rsidRPr="00421EE9" w:rsidRDefault="008A52B4">
      <w:pPr>
        <w:pStyle w:val="Textonotapie"/>
        <w:rPr>
          <w:rFonts w:ascii="Noto Serif" w:hAnsi="Noto Serif" w:cs="Noto Serif"/>
        </w:rPr>
      </w:pPr>
      <w:r w:rsidRPr="00421EE9">
        <w:rPr>
          <w:rStyle w:val="Refdenotaalpie"/>
          <w:rFonts w:ascii="Noto Serif" w:hAnsi="Noto Serif" w:cs="Noto Serif"/>
          <w:sz w:val="14"/>
          <w:szCs w:val="14"/>
        </w:rPr>
        <w:footnoteRef/>
      </w:r>
      <w:r w:rsidRPr="00421EE9">
        <w:rPr>
          <w:rFonts w:ascii="Noto Serif" w:hAnsi="Noto Serif" w:cs="Noto Serif"/>
          <w:sz w:val="14"/>
          <w:szCs w:val="14"/>
        </w:rPr>
        <w:t xml:space="preserve"> </w:t>
      </w:r>
      <w:r w:rsidR="00421EE9" w:rsidRPr="00421EE9">
        <w:rPr>
          <w:rFonts w:ascii="Noto Serif" w:hAnsi="Noto Serif" w:cs="Noto Serif"/>
          <w:sz w:val="14"/>
          <w:szCs w:val="14"/>
        </w:rPr>
        <w:t xml:space="preserve">El CVCS, está integrado por cinco organizaciones de la sociedad civil en el sector salud y una de la Iglesia Católica Colombiana, así: la Conferencia Episcopal de Colombia, la Federación Médica Colombiana, la Fundación </w:t>
      </w:r>
      <w:proofErr w:type="spellStart"/>
      <w:r w:rsidR="00421EE9" w:rsidRPr="00421EE9">
        <w:rPr>
          <w:rFonts w:ascii="Noto Serif" w:hAnsi="Noto Serif" w:cs="Noto Serif"/>
          <w:sz w:val="14"/>
          <w:szCs w:val="14"/>
        </w:rPr>
        <w:t>Ifarma</w:t>
      </w:r>
      <w:proofErr w:type="spellEnd"/>
      <w:r w:rsidR="00421EE9" w:rsidRPr="00421EE9">
        <w:rPr>
          <w:rFonts w:ascii="Noto Serif" w:hAnsi="Noto Serif" w:cs="Noto Serif"/>
          <w:sz w:val="14"/>
          <w:szCs w:val="14"/>
        </w:rPr>
        <w:t>, el Observatorio del Medicamento de la Federación Médica Colombiana –</w:t>
      </w:r>
      <w:proofErr w:type="spellStart"/>
      <w:r w:rsidR="00421EE9" w:rsidRPr="00421EE9">
        <w:rPr>
          <w:rFonts w:ascii="Noto Serif" w:hAnsi="Noto Serif" w:cs="Noto Serif"/>
          <w:sz w:val="14"/>
          <w:szCs w:val="14"/>
        </w:rPr>
        <w:t>Observamed</w:t>
      </w:r>
      <w:proofErr w:type="spellEnd"/>
      <w:r w:rsidR="00421EE9" w:rsidRPr="00421EE9">
        <w:rPr>
          <w:rFonts w:ascii="Noto Serif" w:hAnsi="Noto Serif" w:cs="Noto Serif"/>
          <w:sz w:val="14"/>
          <w:szCs w:val="14"/>
        </w:rPr>
        <w:t>, el Centro de Información de Medicamentos de la Universidad Nacional de Colombia – CIMUN y Misión Salud. Este Comité se constituyó en 2012 por iniciativa de Germán Holguín Zamorano (1936-2019), fundador de Misión Salud, como mecanismo interinstitucional nacional en pro de la defensa del derecho fundamental a la salud y al inherente derecho a acceder a medicamentos y tecnologías necesarias para la vida, la salud y el bienestar de la población humana.</w:t>
      </w:r>
      <w:r w:rsidR="00B75CBF">
        <w:rPr>
          <w:rFonts w:ascii="Noto Serif" w:hAnsi="Noto Serif" w:cs="Noto Serif"/>
          <w:sz w:val="14"/>
          <w:szCs w:val="14"/>
        </w:rPr>
        <w:t xml:space="preserve"> No obstante, estas instituciones conformas el CVCS, este documento solo está suscrito por las entidades específicas que los suscriben.</w:t>
      </w:r>
    </w:p>
  </w:footnote>
  <w:footnote w:id="2">
    <w:p w14:paraId="1429B2E1" w14:textId="2EAE8DB8" w:rsidR="00421EE9" w:rsidRPr="00421EE9" w:rsidRDefault="00421EE9" w:rsidP="00421EE9">
      <w:pPr>
        <w:pStyle w:val="Textonotapie"/>
        <w:rPr>
          <w:rFonts w:ascii="Noto Serif" w:hAnsi="Noto Serif" w:cs="Noto Serif"/>
          <w:sz w:val="14"/>
          <w:szCs w:val="14"/>
        </w:rPr>
      </w:pPr>
      <w:r w:rsidRPr="00421EE9">
        <w:rPr>
          <w:rStyle w:val="Refdenotaalpie"/>
          <w:rFonts w:ascii="Noto Serif" w:hAnsi="Noto Serif" w:cs="Noto Serif"/>
          <w:sz w:val="14"/>
          <w:szCs w:val="14"/>
        </w:rPr>
        <w:footnoteRef/>
      </w:r>
      <w:r w:rsidRPr="00421EE9">
        <w:rPr>
          <w:rFonts w:ascii="Noto Serif" w:hAnsi="Noto Serif" w:cs="Noto Serif"/>
          <w:sz w:val="14"/>
          <w:szCs w:val="14"/>
        </w:rPr>
        <w:t xml:space="preserve"> </w:t>
      </w:r>
      <w:r w:rsidR="00053851">
        <w:rPr>
          <w:rFonts w:ascii="Noto Serif" w:hAnsi="Noto Serif" w:cs="Noto Serif"/>
          <w:sz w:val="14"/>
          <w:szCs w:val="14"/>
        </w:rPr>
        <w:t xml:space="preserve">Enlace disponible en: </w:t>
      </w:r>
      <w:hyperlink r:id="rId1" w:history="1">
        <w:r w:rsidR="00053851" w:rsidRPr="00053851">
          <w:rPr>
            <w:rStyle w:val="Hipervnculo"/>
            <w:rFonts w:ascii="Noto Serif" w:hAnsi="Noto Serif" w:cs="Noto Serif"/>
            <w:sz w:val="14"/>
            <w:szCs w:val="14"/>
          </w:rPr>
          <w:t>https://www.invima.gov.co/documents/20143/1310540/Listado+de+mol%C3%A9culas+para+la+exigencia+de+Estudios+de+Bioequivalencia+v.Mayo2023.pdf/cb7350e3-2b81-264a-190b-7ee12f071b76?t=1685474862560</w:t>
        </w:r>
      </w:hyperlink>
      <w:r w:rsidR="00053851" w:rsidRPr="00053851">
        <w:rPr>
          <w:rFonts w:ascii="Noto Serif" w:hAnsi="Noto Serif" w:cs="Noto Serif"/>
          <w:sz w:val="14"/>
          <w:szCs w:val="14"/>
        </w:rPr>
        <w:t xml:space="preserve"> </w:t>
      </w:r>
    </w:p>
  </w:footnote>
  <w:footnote w:id="3">
    <w:p w14:paraId="11B26BF8" w14:textId="45769692" w:rsidR="00421EE9" w:rsidRPr="00E46CAA" w:rsidRDefault="00421EE9" w:rsidP="00421EE9">
      <w:pPr>
        <w:pStyle w:val="Textonotapie"/>
        <w:rPr>
          <w:rFonts w:ascii="Noto Serif" w:hAnsi="Noto Serif" w:cs="Noto Serif"/>
          <w:sz w:val="14"/>
          <w:szCs w:val="14"/>
        </w:rPr>
      </w:pPr>
      <w:r w:rsidRPr="00421EE9">
        <w:rPr>
          <w:rStyle w:val="Refdenotaalpie"/>
          <w:rFonts w:ascii="Noto Serif" w:hAnsi="Noto Serif" w:cs="Noto Serif"/>
          <w:sz w:val="14"/>
          <w:szCs w:val="14"/>
        </w:rPr>
        <w:footnoteRef/>
      </w:r>
      <w:r w:rsidRPr="00421EE9">
        <w:rPr>
          <w:rFonts w:ascii="Noto Serif" w:hAnsi="Noto Serif" w:cs="Noto Serif"/>
          <w:sz w:val="14"/>
          <w:szCs w:val="14"/>
        </w:rPr>
        <w:t xml:space="preserve"> La resolución 881 reporta una patente cuya composición reporta </w:t>
      </w:r>
      <w:proofErr w:type="spellStart"/>
      <w:r w:rsidRPr="00421EE9">
        <w:rPr>
          <w:rFonts w:ascii="Noto Serif" w:hAnsi="Noto Serif" w:cs="Noto Serif"/>
          <w:sz w:val="14"/>
          <w:szCs w:val="14"/>
        </w:rPr>
        <w:t>Dolutegravir</w:t>
      </w:r>
      <w:proofErr w:type="spellEnd"/>
      <w:r w:rsidRPr="00421EE9">
        <w:rPr>
          <w:rFonts w:ascii="Noto Serif" w:hAnsi="Noto Serif" w:cs="Noto Serif"/>
          <w:sz w:val="14"/>
          <w:szCs w:val="14"/>
        </w:rPr>
        <w:t xml:space="preserve"> + Zidovudina. Este último si se encuentra dentro del listado de moléculas que requieren BE, por lo que para este caso particular sí sería necesaria la exigencia de tales estudios. Por </w:t>
      </w:r>
      <w:r w:rsidR="00BB588E">
        <w:rPr>
          <w:rFonts w:ascii="Noto Serif" w:hAnsi="Noto Serif" w:cs="Noto Serif"/>
          <w:sz w:val="14"/>
          <w:szCs w:val="14"/>
        </w:rPr>
        <w:t>otra parte,</w:t>
      </w:r>
      <w:r w:rsidRPr="00421EE9">
        <w:rPr>
          <w:rFonts w:ascii="Noto Serif" w:hAnsi="Noto Serif" w:cs="Noto Serif"/>
          <w:sz w:val="14"/>
          <w:szCs w:val="14"/>
        </w:rPr>
        <w:t xml:space="preserve"> hay que tener en cuenta que el </w:t>
      </w:r>
      <w:proofErr w:type="spellStart"/>
      <w:r w:rsidRPr="00421EE9">
        <w:rPr>
          <w:rFonts w:ascii="Noto Serif" w:hAnsi="Noto Serif" w:cs="Noto Serif"/>
          <w:sz w:val="14"/>
          <w:szCs w:val="14"/>
        </w:rPr>
        <w:t>Dolutegravir</w:t>
      </w:r>
      <w:proofErr w:type="spellEnd"/>
      <w:r w:rsidRPr="00421EE9">
        <w:rPr>
          <w:rFonts w:ascii="Noto Serif" w:hAnsi="Noto Serif" w:cs="Noto Serif"/>
          <w:sz w:val="14"/>
          <w:szCs w:val="14"/>
        </w:rPr>
        <w:t xml:space="preserve"> se encuentra en el Sistema de Clasificación Biofarmacéutica (SCB) tipo 2 que no son susceptibles a </w:t>
      </w:r>
      <w:proofErr w:type="spellStart"/>
      <w:r w:rsidRPr="00421EE9">
        <w:rPr>
          <w:rFonts w:ascii="Noto Serif" w:hAnsi="Noto Serif" w:cs="Noto Serif"/>
          <w:sz w:val="14"/>
          <w:szCs w:val="14"/>
        </w:rPr>
        <w:t>Bioexcención</w:t>
      </w:r>
      <w:proofErr w:type="spellEnd"/>
      <w:r w:rsidRPr="00421EE9">
        <w:rPr>
          <w:rFonts w:ascii="Noto Serif" w:hAnsi="Noto Serif" w:cs="Noto Serif"/>
          <w:sz w:val="14"/>
          <w:szCs w:val="14"/>
        </w:rPr>
        <w:t>, por lo que se sugiere la exigencia de estudios de BE en los casos que considere necesario.</w:t>
      </w:r>
    </w:p>
  </w:footnote>
  <w:footnote w:id="4">
    <w:p w14:paraId="717B47A3" w14:textId="56A4628F" w:rsidR="00E46CAA" w:rsidRPr="00E46CAA" w:rsidRDefault="00E46CAA" w:rsidP="00E46CAA">
      <w:pPr>
        <w:pStyle w:val="Textonotapie"/>
        <w:rPr>
          <w:rFonts w:ascii="Noto Serif" w:hAnsi="Noto Serif" w:cs="Noto Serif"/>
          <w:sz w:val="14"/>
          <w:szCs w:val="14"/>
        </w:rPr>
      </w:pPr>
      <w:r w:rsidRPr="00E46CAA">
        <w:rPr>
          <w:rStyle w:val="Refdenotaalpie"/>
          <w:rFonts w:ascii="Noto Serif" w:hAnsi="Noto Serif" w:cs="Noto Serif"/>
          <w:sz w:val="14"/>
          <w:szCs w:val="14"/>
        </w:rPr>
        <w:footnoteRef/>
      </w:r>
      <w:r w:rsidRPr="00E46CAA">
        <w:rPr>
          <w:rFonts w:ascii="Noto Serif" w:hAnsi="Noto Serif" w:cs="Noto Serif"/>
          <w:sz w:val="14"/>
          <w:szCs w:val="14"/>
        </w:rPr>
        <w:t xml:space="preserve"> </w:t>
      </w:r>
      <w:r>
        <w:rPr>
          <w:rFonts w:ascii="Noto Serif" w:hAnsi="Noto Serif" w:cs="Noto Serif"/>
          <w:sz w:val="14"/>
          <w:szCs w:val="14"/>
        </w:rPr>
        <w:t xml:space="preserve">Información disponible en: </w:t>
      </w:r>
      <w:hyperlink r:id="rId2" w:history="1">
        <w:r w:rsidRPr="00166046">
          <w:rPr>
            <w:rStyle w:val="Hipervnculo"/>
            <w:rFonts w:ascii="Noto Serif" w:hAnsi="Noto Serif" w:cs="Noto Serif"/>
            <w:sz w:val="14"/>
            <w:szCs w:val="14"/>
          </w:rPr>
          <w:t>https://twitter.com/OBSERVAMED/status/1668773839948648449</w:t>
        </w:r>
      </w:hyperlink>
    </w:p>
    <w:p w14:paraId="637B2D13" w14:textId="217827EF" w:rsidR="00E46CAA" w:rsidRPr="00E46CAA" w:rsidRDefault="00E46CAA">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EAB3" w14:textId="66C80B10" w:rsidR="006A1328" w:rsidRDefault="006A1328">
    <w:pPr>
      <w:pStyle w:val="Encabezado"/>
    </w:pPr>
    <w:r>
      <w:rPr>
        <w:noProof/>
      </w:rPr>
      <w:drawing>
        <wp:anchor distT="0" distB="0" distL="114300" distR="114300" simplePos="0" relativeHeight="251658240" behindDoc="0" locked="0" layoutInCell="1" allowOverlap="1" wp14:anchorId="235D4AA4" wp14:editId="2863A304">
          <wp:simplePos x="0" y="0"/>
          <wp:positionH relativeFrom="column">
            <wp:posOffset>4301490</wp:posOffset>
          </wp:positionH>
          <wp:positionV relativeFrom="paragraph">
            <wp:posOffset>-182880</wp:posOffset>
          </wp:positionV>
          <wp:extent cx="1388745" cy="694055"/>
          <wp:effectExtent l="0" t="0" r="1905" b="0"/>
          <wp:wrapNone/>
          <wp:docPr id="1053170556" name="Imagen 1053170556"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Uma imagem com texto&#10;&#10;Descrição gerad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8745" cy="6940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753D5"/>
    <w:multiLevelType w:val="multilevel"/>
    <w:tmpl w:val="D09693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AE41724"/>
    <w:multiLevelType w:val="multilevel"/>
    <w:tmpl w:val="0C7A2050"/>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DA816DD"/>
    <w:multiLevelType w:val="hybridMultilevel"/>
    <w:tmpl w:val="7EB429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1424EEF"/>
    <w:multiLevelType w:val="hybridMultilevel"/>
    <w:tmpl w:val="F842BA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2302FFA"/>
    <w:multiLevelType w:val="multilevel"/>
    <w:tmpl w:val="20C6CE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C356A53"/>
    <w:multiLevelType w:val="hybridMultilevel"/>
    <w:tmpl w:val="8056E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B53FD7"/>
    <w:multiLevelType w:val="multilevel"/>
    <w:tmpl w:val="AA1C9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674385">
    <w:abstractNumId w:val="0"/>
  </w:num>
  <w:num w:numId="2" w16cid:durableId="1757170154">
    <w:abstractNumId w:val="6"/>
  </w:num>
  <w:num w:numId="3" w16cid:durableId="1606228451">
    <w:abstractNumId w:val="2"/>
  </w:num>
  <w:num w:numId="4" w16cid:durableId="455951815">
    <w:abstractNumId w:val="1"/>
  </w:num>
  <w:num w:numId="5" w16cid:durableId="1442186030">
    <w:abstractNumId w:val="4"/>
  </w:num>
  <w:num w:numId="6" w16cid:durableId="421682218">
    <w:abstractNumId w:val="5"/>
  </w:num>
  <w:num w:numId="7" w16cid:durableId="42546697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isco Rossi">
    <w15:presenceInfo w15:providerId="Windows Live" w15:userId="12b3e60b2c53ad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E6A"/>
    <w:rsid w:val="00053851"/>
    <w:rsid w:val="00071E25"/>
    <w:rsid w:val="000E759A"/>
    <w:rsid w:val="00102B97"/>
    <w:rsid w:val="001353EB"/>
    <w:rsid w:val="00226BDC"/>
    <w:rsid w:val="00296BBB"/>
    <w:rsid w:val="003056DD"/>
    <w:rsid w:val="003447E1"/>
    <w:rsid w:val="003638F5"/>
    <w:rsid w:val="003B74B5"/>
    <w:rsid w:val="003C5F27"/>
    <w:rsid w:val="00417DD4"/>
    <w:rsid w:val="00421EE9"/>
    <w:rsid w:val="004359C5"/>
    <w:rsid w:val="0049071C"/>
    <w:rsid w:val="004C227A"/>
    <w:rsid w:val="004D12F7"/>
    <w:rsid w:val="0053583E"/>
    <w:rsid w:val="005E65DD"/>
    <w:rsid w:val="006A1328"/>
    <w:rsid w:val="006F219E"/>
    <w:rsid w:val="00704757"/>
    <w:rsid w:val="007C6569"/>
    <w:rsid w:val="00823E82"/>
    <w:rsid w:val="0085211D"/>
    <w:rsid w:val="00883729"/>
    <w:rsid w:val="008A52B4"/>
    <w:rsid w:val="009323AF"/>
    <w:rsid w:val="009705C4"/>
    <w:rsid w:val="00977564"/>
    <w:rsid w:val="00992B6C"/>
    <w:rsid w:val="009964C1"/>
    <w:rsid w:val="00997D77"/>
    <w:rsid w:val="009C4E6A"/>
    <w:rsid w:val="00A11C5F"/>
    <w:rsid w:val="00A35430"/>
    <w:rsid w:val="00AF4D2F"/>
    <w:rsid w:val="00B75CBF"/>
    <w:rsid w:val="00BB588E"/>
    <w:rsid w:val="00C64FBD"/>
    <w:rsid w:val="00D500AF"/>
    <w:rsid w:val="00DA0040"/>
    <w:rsid w:val="00DA7878"/>
    <w:rsid w:val="00E22605"/>
    <w:rsid w:val="00E250B0"/>
    <w:rsid w:val="00E46CAA"/>
    <w:rsid w:val="00EC3927"/>
    <w:rsid w:val="00EC7C37"/>
    <w:rsid w:val="00ED37AC"/>
    <w:rsid w:val="00F74FD1"/>
    <w:rsid w:val="00F81120"/>
    <w:rsid w:val="00F816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6D748"/>
  <w15:chartTrackingRefBased/>
  <w15:docId w15:val="{7FA4D56F-5924-4B0D-B277-4B1F89FE9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354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E250B0"/>
    <w:pPr>
      <w:keepNext/>
      <w:keepLines/>
      <w:spacing w:before="360" w:after="80"/>
      <w:outlineLvl w:val="1"/>
    </w:pPr>
    <w:rPr>
      <w:rFonts w:ascii="Calibri" w:eastAsia="Calibri" w:hAnsi="Calibri" w:cs="Calibri"/>
      <w:b/>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250B0"/>
    <w:rPr>
      <w:rFonts w:ascii="Calibri" w:eastAsia="Calibri" w:hAnsi="Calibri" w:cs="Calibri"/>
      <w:b/>
      <w:sz w:val="36"/>
      <w:szCs w:val="36"/>
      <w:lang w:eastAsia="es-CO"/>
    </w:rPr>
  </w:style>
  <w:style w:type="paragraph" w:styleId="Textocomentario">
    <w:name w:val="annotation text"/>
    <w:basedOn w:val="Normal"/>
    <w:link w:val="TextocomentarioCar"/>
    <w:uiPriority w:val="99"/>
    <w:unhideWhenUsed/>
    <w:rsid w:val="00E250B0"/>
    <w:pPr>
      <w:spacing w:line="240" w:lineRule="auto"/>
    </w:pPr>
    <w:rPr>
      <w:rFonts w:ascii="Calibri" w:eastAsia="Calibri" w:hAnsi="Calibri" w:cs="Calibri"/>
      <w:sz w:val="20"/>
      <w:szCs w:val="20"/>
      <w:lang w:eastAsia="es-CO"/>
    </w:rPr>
  </w:style>
  <w:style w:type="character" w:customStyle="1" w:styleId="TextocomentarioCar">
    <w:name w:val="Texto comentario Car"/>
    <w:basedOn w:val="Fuentedeprrafopredeter"/>
    <w:link w:val="Textocomentario"/>
    <w:uiPriority w:val="99"/>
    <w:rsid w:val="00E250B0"/>
    <w:rPr>
      <w:rFonts w:ascii="Calibri" w:eastAsia="Calibri" w:hAnsi="Calibri" w:cs="Calibri"/>
      <w:sz w:val="20"/>
      <w:szCs w:val="20"/>
      <w:lang w:eastAsia="es-CO"/>
    </w:rPr>
  </w:style>
  <w:style w:type="character" w:styleId="Refdecomentario">
    <w:name w:val="annotation reference"/>
    <w:basedOn w:val="Fuentedeprrafopredeter"/>
    <w:uiPriority w:val="99"/>
    <w:semiHidden/>
    <w:unhideWhenUsed/>
    <w:rsid w:val="00E250B0"/>
    <w:rPr>
      <w:sz w:val="16"/>
      <w:szCs w:val="16"/>
    </w:rPr>
  </w:style>
  <w:style w:type="table" w:styleId="Tablaconcuadrcula">
    <w:name w:val="Table Grid"/>
    <w:basedOn w:val="Tablanormal"/>
    <w:uiPriority w:val="39"/>
    <w:rsid w:val="00E250B0"/>
    <w:pPr>
      <w:spacing w:after="0" w:line="240" w:lineRule="auto"/>
    </w:pPr>
    <w:rPr>
      <w:rFonts w:ascii="Calibri" w:eastAsia="Calibri" w:hAnsi="Calibri" w:cs="Calibri"/>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5211D"/>
    <w:rPr>
      <w:color w:val="0563C1" w:themeColor="hyperlink"/>
      <w:u w:val="single"/>
    </w:rPr>
  </w:style>
  <w:style w:type="character" w:styleId="Mencinsinresolver">
    <w:name w:val="Unresolved Mention"/>
    <w:basedOn w:val="Fuentedeprrafopredeter"/>
    <w:uiPriority w:val="99"/>
    <w:semiHidden/>
    <w:unhideWhenUsed/>
    <w:rsid w:val="00997D77"/>
    <w:rPr>
      <w:color w:val="605E5C"/>
      <w:shd w:val="clear" w:color="auto" w:fill="E1DFDD"/>
    </w:rPr>
  </w:style>
  <w:style w:type="paragraph" w:styleId="Encabezado">
    <w:name w:val="header"/>
    <w:basedOn w:val="Normal"/>
    <w:link w:val="EncabezadoCar"/>
    <w:uiPriority w:val="99"/>
    <w:unhideWhenUsed/>
    <w:rsid w:val="006A13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1328"/>
  </w:style>
  <w:style w:type="paragraph" w:styleId="Piedepgina">
    <w:name w:val="footer"/>
    <w:basedOn w:val="Normal"/>
    <w:link w:val="PiedepginaCar"/>
    <w:uiPriority w:val="99"/>
    <w:unhideWhenUsed/>
    <w:rsid w:val="006A13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1328"/>
  </w:style>
  <w:style w:type="character" w:styleId="Hipervnculovisitado">
    <w:name w:val="FollowedHyperlink"/>
    <w:basedOn w:val="Fuentedeprrafopredeter"/>
    <w:uiPriority w:val="99"/>
    <w:semiHidden/>
    <w:unhideWhenUsed/>
    <w:rsid w:val="009705C4"/>
    <w:rPr>
      <w:color w:val="954F72" w:themeColor="followedHyperlink"/>
      <w:u w:val="single"/>
    </w:rPr>
  </w:style>
  <w:style w:type="character" w:customStyle="1" w:styleId="Ttulo1Car">
    <w:name w:val="Título 1 Car"/>
    <w:basedOn w:val="Fuentedeprrafopredeter"/>
    <w:link w:val="Ttulo1"/>
    <w:uiPriority w:val="9"/>
    <w:rsid w:val="00A35430"/>
    <w:rPr>
      <w:rFonts w:asciiTheme="majorHAnsi" w:eastAsiaTheme="majorEastAsia" w:hAnsiTheme="majorHAnsi" w:cstheme="majorBidi"/>
      <w:color w:val="2F5496" w:themeColor="accent1" w:themeShade="BF"/>
      <w:sz w:val="32"/>
      <w:szCs w:val="32"/>
    </w:rPr>
  </w:style>
  <w:style w:type="paragraph" w:customStyle="1" w:styleId="Default">
    <w:name w:val="Default"/>
    <w:rsid w:val="00A35430"/>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D500AF"/>
    <w:pPr>
      <w:ind w:left="720"/>
      <w:contextualSpacing/>
    </w:pPr>
  </w:style>
  <w:style w:type="paragraph" w:styleId="Textonotapie">
    <w:name w:val="footnote text"/>
    <w:basedOn w:val="Normal"/>
    <w:link w:val="TextonotapieCar"/>
    <w:uiPriority w:val="99"/>
    <w:semiHidden/>
    <w:unhideWhenUsed/>
    <w:rsid w:val="00417DD4"/>
    <w:pPr>
      <w:spacing w:after="0" w:line="240" w:lineRule="auto"/>
    </w:pPr>
    <w:rPr>
      <w:kern w:val="2"/>
      <w:sz w:val="20"/>
      <w:szCs w:val="20"/>
      <w14:ligatures w14:val="standardContextual"/>
    </w:rPr>
  </w:style>
  <w:style w:type="character" w:customStyle="1" w:styleId="TextonotapieCar">
    <w:name w:val="Texto nota pie Car"/>
    <w:basedOn w:val="Fuentedeprrafopredeter"/>
    <w:link w:val="Textonotapie"/>
    <w:uiPriority w:val="99"/>
    <w:semiHidden/>
    <w:rsid w:val="00417DD4"/>
    <w:rPr>
      <w:kern w:val="2"/>
      <w:sz w:val="20"/>
      <w:szCs w:val="20"/>
      <w14:ligatures w14:val="standardContextual"/>
    </w:rPr>
  </w:style>
  <w:style w:type="character" w:styleId="Refdenotaalpie">
    <w:name w:val="footnote reference"/>
    <w:basedOn w:val="Fuentedeprrafopredeter"/>
    <w:uiPriority w:val="99"/>
    <w:semiHidden/>
    <w:unhideWhenUsed/>
    <w:rsid w:val="00417DD4"/>
    <w:rPr>
      <w:vertAlign w:val="superscript"/>
    </w:rPr>
  </w:style>
  <w:style w:type="paragraph" w:styleId="NormalWeb">
    <w:name w:val="Normal (Web)"/>
    <w:basedOn w:val="Normal"/>
    <w:uiPriority w:val="99"/>
    <w:unhideWhenUsed/>
    <w:rsid w:val="00417DD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Asuntodelcomentario">
    <w:name w:val="annotation subject"/>
    <w:basedOn w:val="Textocomentario"/>
    <w:next w:val="Textocomentario"/>
    <w:link w:val="AsuntodelcomentarioCar"/>
    <w:uiPriority w:val="99"/>
    <w:semiHidden/>
    <w:unhideWhenUsed/>
    <w:rsid w:val="00704757"/>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704757"/>
    <w:rPr>
      <w:rFonts w:ascii="Calibri" w:eastAsia="Calibri" w:hAnsi="Calibri" w:cs="Calibri"/>
      <w:b/>
      <w:bC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7784">
      <w:bodyDiv w:val="1"/>
      <w:marLeft w:val="0"/>
      <w:marRight w:val="0"/>
      <w:marTop w:val="0"/>
      <w:marBottom w:val="0"/>
      <w:divBdr>
        <w:top w:val="none" w:sz="0" w:space="0" w:color="auto"/>
        <w:left w:val="none" w:sz="0" w:space="0" w:color="auto"/>
        <w:bottom w:val="none" w:sz="0" w:space="0" w:color="auto"/>
        <w:right w:val="none" w:sz="0" w:space="0" w:color="auto"/>
      </w:divBdr>
    </w:div>
    <w:div w:id="68309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hyperlink" Target="http://www.somosveedoresensalud.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twitter.com/OBSERVAMED/status/1668773839948648449" TargetMode="External"/><Relationship Id="rId1" Type="http://schemas.openxmlformats.org/officeDocument/2006/relationships/hyperlink" Target="https://www.invima.gov.co/documents/20143/1310540/Listado+de+mol%C3%A9culas+para+la+exigencia+de+Estudios+de+Bioequivalencia+v.Mayo2023.pdf/cb7350e3-2b81-264a-190b-7ee12f071b76?t=16854748625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CABD8-DB23-433C-982C-2E68ABA1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798</Words>
  <Characters>4390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Cesarmorenogr@outlook.com</dc:creator>
  <cp:keywords/>
  <dc:description/>
  <cp:lastModifiedBy>Francisco Rossi</cp:lastModifiedBy>
  <cp:revision>3</cp:revision>
  <dcterms:created xsi:type="dcterms:W3CDTF">2023-06-19T23:50:00Z</dcterms:created>
  <dcterms:modified xsi:type="dcterms:W3CDTF">2023-06-19T23:50:00Z</dcterms:modified>
</cp:coreProperties>
</file>